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3B" w:rsidRPr="009B2BAE" w:rsidRDefault="003F113B" w:rsidP="003F113B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3F113B" w:rsidRPr="009B2BAE" w:rsidRDefault="003F113B" w:rsidP="003F113B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3F113B" w:rsidRPr="009B2BAE" w:rsidRDefault="003F113B" w:rsidP="003F113B">
      <w:pPr>
        <w:jc w:val="center"/>
        <w:rPr>
          <w:b/>
          <w:sz w:val="28"/>
          <w:szCs w:val="28"/>
        </w:rPr>
      </w:pPr>
    </w:p>
    <w:p w:rsidR="003F113B" w:rsidRPr="009B2BAE" w:rsidRDefault="003F113B" w:rsidP="003F113B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за січень</w:t>
      </w:r>
      <w:r w:rsidRPr="003F113B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</w:rPr>
        <w:t>квітень</w:t>
      </w:r>
      <w:r w:rsidRPr="009B2BAE">
        <w:rPr>
          <w:b/>
          <w:sz w:val="28"/>
          <w:szCs w:val="28"/>
        </w:rPr>
        <w:t xml:space="preserve"> 201</w:t>
      </w:r>
      <w:r w:rsidRPr="003F113B">
        <w:rPr>
          <w:b/>
          <w:sz w:val="28"/>
          <w:szCs w:val="28"/>
          <w:lang w:val="ru-RU"/>
        </w:rPr>
        <w:t>5</w:t>
      </w:r>
      <w:r w:rsidRPr="009B2BAE">
        <w:rPr>
          <w:b/>
          <w:sz w:val="28"/>
          <w:szCs w:val="28"/>
        </w:rPr>
        <w:t xml:space="preserve"> року</w:t>
      </w:r>
    </w:p>
    <w:p w:rsidR="003F113B" w:rsidRPr="009B2BAE" w:rsidRDefault="003F113B" w:rsidP="003F113B">
      <w:pPr>
        <w:jc w:val="center"/>
        <w:rPr>
          <w:b/>
          <w:bCs/>
          <w:sz w:val="28"/>
          <w:szCs w:val="28"/>
        </w:rPr>
      </w:pPr>
    </w:p>
    <w:p w:rsidR="003F113B" w:rsidRDefault="003F113B" w:rsidP="003F113B">
      <w:pPr>
        <w:jc w:val="center"/>
        <w:rPr>
          <w:b/>
          <w:bCs/>
          <w:sz w:val="28"/>
          <w:szCs w:val="28"/>
        </w:rPr>
      </w:pPr>
      <w:r w:rsidRPr="009B2BAE">
        <w:rPr>
          <w:b/>
          <w:bCs/>
          <w:sz w:val="28"/>
          <w:szCs w:val="28"/>
        </w:rPr>
        <w:t>ПРОМИСЛОВІСТЬ</w:t>
      </w:r>
    </w:p>
    <w:p w:rsidR="003F113B" w:rsidRDefault="003F113B" w:rsidP="003F113B">
      <w:pPr>
        <w:jc w:val="center"/>
        <w:rPr>
          <w:b/>
          <w:bCs/>
          <w:sz w:val="28"/>
          <w:szCs w:val="28"/>
        </w:rPr>
      </w:pPr>
    </w:p>
    <w:p w:rsidR="003F113B" w:rsidRPr="003F396B" w:rsidRDefault="003F113B" w:rsidP="003F113B">
      <w:pPr>
        <w:ind w:firstLine="720"/>
        <w:jc w:val="both"/>
        <w:rPr>
          <w:sz w:val="28"/>
        </w:rPr>
      </w:pPr>
      <w:r w:rsidRPr="003F396B">
        <w:rPr>
          <w:sz w:val="28"/>
        </w:rPr>
        <w:t>За підсумками січня–</w:t>
      </w:r>
      <w:r>
        <w:rPr>
          <w:sz w:val="28"/>
        </w:rPr>
        <w:t>квітня</w:t>
      </w:r>
      <w:r w:rsidRPr="003F396B">
        <w:rPr>
          <w:sz w:val="28"/>
        </w:rPr>
        <w:t xml:space="preserve"> 2015р. порівняно з відповідним періодом минулого року індекс промислової продукції становив 8</w:t>
      </w:r>
      <w:r>
        <w:rPr>
          <w:sz w:val="28"/>
        </w:rPr>
        <w:t>7,5</w:t>
      </w:r>
      <w:r w:rsidRPr="003F396B">
        <w:rPr>
          <w:sz w:val="28"/>
        </w:rPr>
        <w:t xml:space="preserve">%.  </w:t>
      </w:r>
    </w:p>
    <w:p w:rsidR="003F113B" w:rsidRPr="003F396B" w:rsidRDefault="003F113B" w:rsidP="003F113B">
      <w:pPr>
        <w:ind w:firstLine="720"/>
        <w:jc w:val="both"/>
        <w:rPr>
          <w:sz w:val="28"/>
        </w:rPr>
      </w:pPr>
      <w:r w:rsidRPr="003F396B">
        <w:rPr>
          <w:sz w:val="28"/>
        </w:rPr>
        <w:t xml:space="preserve">У </w:t>
      </w:r>
      <w:r w:rsidRPr="003F396B">
        <w:rPr>
          <w:b/>
          <w:sz w:val="28"/>
        </w:rPr>
        <w:t>добувній промисловості і розробленні кар’єрів</w:t>
      </w:r>
      <w:r w:rsidRPr="003F396B">
        <w:rPr>
          <w:sz w:val="28"/>
        </w:rPr>
        <w:t xml:space="preserve"> обсяги промислового виробництва склали </w:t>
      </w:r>
      <w:r>
        <w:rPr>
          <w:sz w:val="28"/>
        </w:rPr>
        <w:t>85,7</w:t>
      </w:r>
      <w:r w:rsidRPr="003F396B">
        <w:rPr>
          <w:sz w:val="28"/>
        </w:rPr>
        <w:t xml:space="preserve">%, а в </w:t>
      </w:r>
      <w:r w:rsidRPr="003F396B">
        <w:rPr>
          <w:b/>
          <w:sz w:val="28"/>
        </w:rPr>
        <w:t xml:space="preserve">переробній                  промисловості </w:t>
      </w:r>
      <w:r w:rsidRPr="003F396B">
        <w:rPr>
          <w:sz w:val="28"/>
        </w:rPr>
        <w:t xml:space="preserve">– </w:t>
      </w:r>
      <w:r>
        <w:rPr>
          <w:sz w:val="28"/>
        </w:rPr>
        <w:t>90,3</w:t>
      </w:r>
      <w:r w:rsidRPr="003F396B">
        <w:rPr>
          <w:sz w:val="28"/>
        </w:rPr>
        <w:t>%.</w:t>
      </w:r>
    </w:p>
    <w:p w:rsidR="003F113B" w:rsidRPr="003F396B" w:rsidRDefault="003F113B" w:rsidP="003F113B">
      <w:pPr>
        <w:ind w:firstLine="720"/>
        <w:jc w:val="both"/>
        <w:rPr>
          <w:sz w:val="28"/>
          <w:szCs w:val="28"/>
        </w:rPr>
      </w:pPr>
      <w:r w:rsidRPr="003F396B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із                        січнем–</w:t>
      </w:r>
      <w:r>
        <w:rPr>
          <w:sz w:val="28"/>
        </w:rPr>
        <w:t>квітнем</w:t>
      </w:r>
      <w:r w:rsidRPr="003F396B">
        <w:rPr>
          <w:sz w:val="28"/>
        </w:rPr>
        <w:t xml:space="preserve"> 2014р. склав </w:t>
      </w:r>
      <w:r>
        <w:rPr>
          <w:sz w:val="28"/>
        </w:rPr>
        <w:t>97,2</w:t>
      </w:r>
      <w:r w:rsidRPr="003F396B">
        <w:rPr>
          <w:sz w:val="28"/>
        </w:rPr>
        <w:t>%. При цьому зменшився випуск</w:t>
      </w:r>
      <w:r w:rsidRPr="003F396B">
        <w:rPr>
          <w:sz w:val="28"/>
          <w:szCs w:val="28"/>
        </w:rPr>
        <w:t xml:space="preserve"> вершкового масла (на 1</w:t>
      </w:r>
      <w:r>
        <w:rPr>
          <w:sz w:val="28"/>
          <w:szCs w:val="28"/>
        </w:rPr>
        <w:t>8,5</w:t>
      </w:r>
      <w:r w:rsidRPr="003F396B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3F396B">
        <w:rPr>
          <w:sz w:val="28"/>
          <w:szCs w:val="28"/>
        </w:rPr>
        <w:t>хліба та виробів хлібобулочних</w:t>
      </w:r>
      <w:r w:rsidRPr="003F396B">
        <w:rPr>
          <w:sz w:val="28"/>
          <w:szCs w:val="28"/>
          <w:lang w:val="ru-RU"/>
        </w:rPr>
        <w:t>,</w:t>
      </w:r>
      <w:r w:rsidRPr="003F396B">
        <w:rPr>
          <w:sz w:val="28"/>
          <w:szCs w:val="28"/>
        </w:rPr>
        <w:t xml:space="preserve"> нетривалого зберігання</w:t>
      </w:r>
      <w:r>
        <w:rPr>
          <w:sz w:val="28"/>
          <w:szCs w:val="28"/>
        </w:rPr>
        <w:t xml:space="preserve"> </w:t>
      </w:r>
      <w:r w:rsidRPr="003F396B">
        <w:rPr>
          <w:sz w:val="28"/>
          <w:szCs w:val="28"/>
        </w:rPr>
        <w:t xml:space="preserve">(на </w:t>
      </w:r>
      <w:r>
        <w:rPr>
          <w:sz w:val="28"/>
          <w:szCs w:val="28"/>
        </w:rPr>
        <w:t>13,6</w:t>
      </w:r>
      <w:r w:rsidRPr="003F396B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3F396B">
        <w:rPr>
          <w:sz w:val="28"/>
          <w:szCs w:val="28"/>
        </w:rPr>
        <w:t xml:space="preserve">жирних сирів (на </w:t>
      </w:r>
      <w:r>
        <w:rPr>
          <w:sz w:val="28"/>
          <w:szCs w:val="28"/>
        </w:rPr>
        <w:t>13,4</w:t>
      </w:r>
      <w:r w:rsidRPr="003F396B">
        <w:rPr>
          <w:sz w:val="28"/>
          <w:szCs w:val="28"/>
        </w:rPr>
        <w:t>%), ковбасних виробів (на</w:t>
      </w:r>
      <w:r>
        <w:rPr>
          <w:sz w:val="28"/>
          <w:szCs w:val="28"/>
        </w:rPr>
        <w:t> 5,4</w:t>
      </w:r>
      <w:r w:rsidRPr="003F396B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3F396B">
        <w:rPr>
          <w:sz w:val="28"/>
          <w:szCs w:val="28"/>
        </w:rPr>
        <w:t>свіжого чи охолодженого м’яса великої рогатої худоби</w:t>
      </w:r>
      <w:r>
        <w:rPr>
          <w:sz w:val="28"/>
          <w:szCs w:val="28"/>
        </w:rPr>
        <w:t xml:space="preserve"> </w:t>
      </w:r>
      <w:r w:rsidRPr="003F396B">
        <w:rPr>
          <w:sz w:val="28"/>
          <w:szCs w:val="28"/>
        </w:rPr>
        <w:t>(на</w:t>
      </w:r>
      <w:r>
        <w:rPr>
          <w:sz w:val="28"/>
          <w:szCs w:val="28"/>
        </w:rPr>
        <w:t> 5,3</w:t>
      </w:r>
      <w:r w:rsidRPr="003F396B">
        <w:rPr>
          <w:sz w:val="28"/>
          <w:szCs w:val="28"/>
        </w:rPr>
        <w:t xml:space="preserve">%). Водночас спостерігалося </w:t>
      </w:r>
      <w:r w:rsidRPr="003F396B">
        <w:rPr>
          <w:sz w:val="28"/>
        </w:rPr>
        <w:t>зростання виробництва</w:t>
      </w:r>
      <w:r w:rsidRPr="003F396B">
        <w:rPr>
          <w:sz w:val="28"/>
          <w:szCs w:val="28"/>
        </w:rPr>
        <w:t xml:space="preserve"> круп (на</w:t>
      </w:r>
      <w:r>
        <w:rPr>
          <w:sz w:val="28"/>
          <w:szCs w:val="28"/>
          <w:lang w:val="en-US"/>
        </w:rPr>
        <w:t> </w:t>
      </w:r>
      <w:r w:rsidRPr="003F396B">
        <w:rPr>
          <w:sz w:val="28"/>
          <w:szCs w:val="28"/>
        </w:rPr>
        <w:t>1</w:t>
      </w:r>
      <w:r>
        <w:rPr>
          <w:sz w:val="28"/>
          <w:szCs w:val="28"/>
        </w:rPr>
        <w:t>6,2</w:t>
      </w:r>
      <w:r w:rsidRPr="003F396B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3F396B">
        <w:rPr>
          <w:sz w:val="28"/>
          <w:szCs w:val="28"/>
        </w:rPr>
        <w:t>рідкого обробленого молока</w:t>
      </w:r>
      <w:r w:rsidRPr="007E4E15">
        <w:rPr>
          <w:sz w:val="28"/>
          <w:szCs w:val="28"/>
          <w:lang w:val="ru-RU"/>
        </w:rPr>
        <w:t xml:space="preserve"> </w:t>
      </w:r>
      <w:r w:rsidRPr="003F396B">
        <w:rPr>
          <w:sz w:val="28"/>
          <w:szCs w:val="28"/>
          <w:lang w:val="ru-RU"/>
        </w:rPr>
        <w:t>(</w:t>
      </w:r>
      <w:r w:rsidRPr="003F396B">
        <w:rPr>
          <w:sz w:val="28"/>
          <w:szCs w:val="28"/>
        </w:rPr>
        <w:t xml:space="preserve">на </w:t>
      </w:r>
      <w:r>
        <w:rPr>
          <w:sz w:val="28"/>
          <w:szCs w:val="28"/>
        </w:rPr>
        <w:t>12,5</w:t>
      </w:r>
      <w:r w:rsidRPr="003F396B">
        <w:rPr>
          <w:sz w:val="28"/>
          <w:szCs w:val="28"/>
        </w:rPr>
        <w:t>%</w:t>
      </w:r>
      <w:r w:rsidRPr="003F396B">
        <w:rPr>
          <w:sz w:val="28"/>
          <w:szCs w:val="28"/>
          <w:lang w:val="ru-RU"/>
        </w:rPr>
        <w:t>),</w:t>
      </w:r>
      <w:r w:rsidRPr="003F396B">
        <w:rPr>
          <w:sz w:val="28"/>
          <w:szCs w:val="28"/>
        </w:rPr>
        <w:t xml:space="preserve"> борошна (на </w:t>
      </w:r>
      <w:r>
        <w:rPr>
          <w:sz w:val="28"/>
          <w:szCs w:val="28"/>
        </w:rPr>
        <w:t>8,1</w:t>
      </w:r>
      <w:r w:rsidRPr="003F396B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Pr="003F396B">
        <w:rPr>
          <w:sz w:val="28"/>
          <w:szCs w:val="28"/>
        </w:rPr>
        <w:t xml:space="preserve"> </w:t>
      </w:r>
    </w:p>
    <w:p w:rsidR="003F113B" w:rsidRDefault="003F113B" w:rsidP="003F113B">
      <w:pPr>
        <w:ind w:firstLine="708"/>
        <w:jc w:val="both"/>
        <w:rPr>
          <w:sz w:val="28"/>
          <w:lang w:val="ru-RU"/>
        </w:rPr>
      </w:pPr>
      <w:r w:rsidRPr="003F396B">
        <w:rPr>
          <w:sz w:val="28"/>
        </w:rPr>
        <w:t>У текстильному виробництві, виробництві одягу, шкіри, виробів зі шкіри та інших матеріалів порівняно із січнем–</w:t>
      </w:r>
      <w:r>
        <w:rPr>
          <w:sz w:val="28"/>
        </w:rPr>
        <w:t>квітнем</w:t>
      </w:r>
      <w:r w:rsidRPr="003F396B">
        <w:rPr>
          <w:sz w:val="28"/>
        </w:rPr>
        <w:t xml:space="preserve"> 2014р. індекс промислової продукції становив 7</w:t>
      </w:r>
      <w:r>
        <w:rPr>
          <w:sz w:val="28"/>
        </w:rPr>
        <w:t>6,6</w:t>
      </w:r>
      <w:r w:rsidRPr="003F396B">
        <w:rPr>
          <w:sz w:val="28"/>
        </w:rPr>
        <w:t>%. Менше вироблено вовняних тканин, постільної білизни</w:t>
      </w:r>
      <w:r>
        <w:rPr>
          <w:sz w:val="28"/>
          <w:lang w:val="ru-RU"/>
        </w:rPr>
        <w:t>,</w:t>
      </w:r>
      <w:r w:rsidRPr="003F396B">
        <w:rPr>
          <w:sz w:val="28"/>
          <w:lang w:val="ru-RU"/>
        </w:rPr>
        <w:t xml:space="preserve"> </w:t>
      </w:r>
      <w:r w:rsidRPr="003F396B">
        <w:rPr>
          <w:sz w:val="28"/>
        </w:rPr>
        <w:t>взуття</w:t>
      </w:r>
      <w:r>
        <w:rPr>
          <w:sz w:val="28"/>
        </w:rPr>
        <w:t xml:space="preserve">; </w:t>
      </w:r>
      <w:r w:rsidRPr="00F85EBD">
        <w:rPr>
          <w:sz w:val="28"/>
          <w:szCs w:val="28"/>
        </w:rPr>
        <w:t xml:space="preserve">більше – </w:t>
      </w:r>
      <w:r w:rsidRPr="00F85EBD">
        <w:rPr>
          <w:sz w:val="28"/>
        </w:rPr>
        <w:t>речей постільних</w:t>
      </w:r>
      <w:r>
        <w:rPr>
          <w:sz w:val="28"/>
        </w:rPr>
        <w:t>.</w:t>
      </w:r>
    </w:p>
    <w:p w:rsidR="003F113B" w:rsidRPr="00627DBB" w:rsidRDefault="003F113B" w:rsidP="003F113B">
      <w:pPr>
        <w:ind w:firstLine="720"/>
        <w:jc w:val="both"/>
        <w:rPr>
          <w:sz w:val="28"/>
        </w:rPr>
      </w:pPr>
      <w:r w:rsidRPr="003F396B">
        <w:rPr>
          <w:sz w:val="28"/>
        </w:rPr>
        <w:t>На підприємствах із виготовлення виробів з дереви</w:t>
      </w:r>
      <w:r w:rsidRPr="00627DBB">
        <w:rPr>
          <w:sz w:val="28"/>
        </w:rPr>
        <w:t>ни, виробництв</w:t>
      </w:r>
      <w:r>
        <w:rPr>
          <w:sz w:val="28"/>
        </w:rPr>
        <w:t>а</w:t>
      </w:r>
      <w:r w:rsidRPr="00627DBB">
        <w:rPr>
          <w:sz w:val="28"/>
        </w:rPr>
        <w:t xml:space="preserve"> паперу та поліграфічної діяльності випуск промислової продукції склав </w:t>
      </w:r>
      <w:r>
        <w:rPr>
          <w:sz w:val="28"/>
        </w:rPr>
        <w:t>90%, у</w:t>
      </w:r>
      <w:r w:rsidRPr="00627DBB">
        <w:rPr>
          <w:sz w:val="28"/>
        </w:rPr>
        <w:t xml:space="preserve"> </w:t>
      </w:r>
      <w:r w:rsidRPr="005F6CB1">
        <w:rPr>
          <w:sz w:val="28"/>
        </w:rPr>
        <w:t>виробництві хімічних речовин і хімічної продукції – 9</w:t>
      </w:r>
      <w:r>
        <w:rPr>
          <w:sz w:val="28"/>
        </w:rPr>
        <w:t>7,1</w:t>
      </w:r>
      <w:r w:rsidRPr="005F6CB1">
        <w:rPr>
          <w:sz w:val="28"/>
        </w:rPr>
        <w:t>%, у</w:t>
      </w:r>
      <w:r>
        <w:rPr>
          <w:sz w:val="28"/>
        </w:rPr>
        <w:t> </w:t>
      </w:r>
      <w:r w:rsidRPr="005F6CB1">
        <w:rPr>
          <w:sz w:val="28"/>
        </w:rPr>
        <w:t>виробництві гумових і пластмасових виробів, іншої неметалевої мінеральної продукції –</w:t>
      </w:r>
      <w:r>
        <w:rPr>
          <w:sz w:val="28"/>
        </w:rPr>
        <w:t xml:space="preserve"> </w:t>
      </w:r>
      <w:r w:rsidRPr="005F6CB1">
        <w:rPr>
          <w:sz w:val="28"/>
        </w:rPr>
        <w:t>10</w:t>
      </w:r>
      <w:r>
        <w:rPr>
          <w:sz w:val="28"/>
        </w:rPr>
        <w:t>9,2</w:t>
      </w:r>
      <w:r w:rsidRPr="005F6CB1">
        <w:rPr>
          <w:sz w:val="28"/>
        </w:rPr>
        <w:t>%, у</w:t>
      </w:r>
      <w:r w:rsidRPr="00627DBB">
        <w:rPr>
          <w:sz w:val="28"/>
        </w:rPr>
        <w:t xml:space="preserve"> металургійному виробництві, виробництві готових металевих виробів, крім машин і устатковання, –</w:t>
      </w:r>
      <w:r>
        <w:rPr>
          <w:sz w:val="28"/>
        </w:rPr>
        <w:t xml:space="preserve"> 59,7%, </w:t>
      </w:r>
      <w:r w:rsidRPr="00627DBB">
        <w:rPr>
          <w:sz w:val="28"/>
        </w:rPr>
        <w:t>у машинобудуванні, крім ремонту і монтажу машин і устатк</w:t>
      </w:r>
      <w:r>
        <w:rPr>
          <w:sz w:val="28"/>
        </w:rPr>
        <w:t>о</w:t>
      </w:r>
      <w:r w:rsidRPr="00627DBB">
        <w:rPr>
          <w:sz w:val="28"/>
        </w:rPr>
        <w:t>вання,</w:t>
      </w:r>
      <w:r>
        <w:rPr>
          <w:sz w:val="28"/>
        </w:rPr>
        <w:t> – 62,7%.</w:t>
      </w:r>
    </w:p>
    <w:p w:rsidR="003F113B" w:rsidRPr="005F6CB1" w:rsidRDefault="003F113B" w:rsidP="003F113B">
      <w:pPr>
        <w:ind w:firstLine="720"/>
        <w:jc w:val="both"/>
        <w:rPr>
          <w:sz w:val="28"/>
        </w:rPr>
      </w:pPr>
      <w:r w:rsidRPr="00A50A42">
        <w:rPr>
          <w:sz w:val="28"/>
        </w:rPr>
        <w:t xml:space="preserve">Серед окремих видів продукції </w:t>
      </w:r>
      <w:r w:rsidRPr="00A50A42">
        <w:rPr>
          <w:sz w:val="28"/>
          <w:szCs w:val="28"/>
        </w:rPr>
        <w:t xml:space="preserve">менше вироблено </w:t>
      </w:r>
      <w:r w:rsidRPr="00A50A42">
        <w:rPr>
          <w:sz w:val="28"/>
        </w:rPr>
        <w:t>шпалер,</w:t>
      </w:r>
      <w:r w:rsidRPr="00A50A42">
        <w:rPr>
          <w:color w:val="FF0000"/>
          <w:sz w:val="28"/>
          <w:szCs w:val="28"/>
        </w:rPr>
        <w:t xml:space="preserve"> </w:t>
      </w:r>
      <w:r w:rsidRPr="00A50A42">
        <w:rPr>
          <w:sz w:val="28"/>
        </w:rPr>
        <w:t xml:space="preserve">цегли невогнетривкої керамічної будівельної, </w:t>
      </w:r>
      <w:r w:rsidRPr="00A50A42">
        <w:rPr>
          <w:sz w:val="28"/>
          <w:szCs w:val="28"/>
        </w:rPr>
        <w:t>блоків та цегли з</w:t>
      </w:r>
      <w:r w:rsidRPr="00A50A42">
        <w:rPr>
          <w:sz w:val="28"/>
        </w:rPr>
        <w:t xml:space="preserve"> цементу, бетону або каменю штучного для будівництва, </w:t>
      </w:r>
      <w:r w:rsidRPr="00A50A42">
        <w:rPr>
          <w:sz w:val="28"/>
          <w:szCs w:val="28"/>
        </w:rPr>
        <w:t xml:space="preserve">вогнегасників, пожежних машин; </w:t>
      </w:r>
      <w:r w:rsidRPr="00A50A42">
        <w:rPr>
          <w:sz w:val="28"/>
        </w:rPr>
        <w:t xml:space="preserve">більше – </w:t>
      </w:r>
      <w:r w:rsidRPr="00A50A42">
        <w:rPr>
          <w:sz w:val="28"/>
          <w:szCs w:val="28"/>
        </w:rPr>
        <w:t>деревини уздовж розпиляної чи розколотої,</w:t>
      </w:r>
      <w:r w:rsidRPr="00A50A42">
        <w:rPr>
          <w:color w:val="FF0000"/>
          <w:sz w:val="28"/>
        </w:rPr>
        <w:t xml:space="preserve"> </w:t>
      </w:r>
      <w:r w:rsidRPr="00A50A42">
        <w:rPr>
          <w:sz w:val="28"/>
        </w:rPr>
        <w:t xml:space="preserve">елементів конструкцій збірних для будівництва з цементу, бетону або </w:t>
      </w:r>
      <w:r w:rsidRPr="00A50A42">
        <w:rPr>
          <w:sz w:val="28"/>
          <w:szCs w:val="28"/>
        </w:rPr>
        <w:t>каменю</w:t>
      </w:r>
      <w:r w:rsidRPr="00A50A42">
        <w:rPr>
          <w:sz w:val="28"/>
        </w:rPr>
        <w:t xml:space="preserve"> штучного,</w:t>
      </w:r>
      <w:r w:rsidRPr="00A50A42">
        <w:rPr>
          <w:sz w:val="28"/>
          <w:szCs w:val="28"/>
        </w:rPr>
        <w:t xml:space="preserve"> верстатів для оброблення деревини</w:t>
      </w:r>
      <w:r w:rsidRPr="00A50A42">
        <w:rPr>
          <w:sz w:val="28"/>
        </w:rPr>
        <w:t xml:space="preserve">. </w:t>
      </w:r>
      <w:r w:rsidRPr="005F6CB1">
        <w:rPr>
          <w:sz w:val="28"/>
          <w:szCs w:val="28"/>
        </w:rPr>
        <w:t xml:space="preserve"> Не вироблялися автобуси.</w:t>
      </w:r>
      <w:r w:rsidRPr="005F6CB1">
        <w:rPr>
          <w:sz w:val="28"/>
        </w:rPr>
        <w:t xml:space="preserve"> </w:t>
      </w:r>
    </w:p>
    <w:p w:rsidR="003F113B" w:rsidRPr="002A610A" w:rsidRDefault="003F113B" w:rsidP="003F113B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в</w:t>
      </w:r>
      <w:r w:rsidRPr="002A610A">
        <w:rPr>
          <w:sz w:val="28"/>
        </w:rPr>
        <w:t xml:space="preserve"> </w:t>
      </w:r>
      <w:r>
        <w:rPr>
          <w:sz w:val="28"/>
        </w:rPr>
        <w:t>січні–квітні 2015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січнем–квітнем </w:t>
      </w:r>
      <w:r w:rsidRPr="002A610A">
        <w:rPr>
          <w:sz w:val="28"/>
        </w:rPr>
        <w:t>201</w:t>
      </w:r>
      <w:r>
        <w:rPr>
          <w:sz w:val="28"/>
        </w:rPr>
        <w:t>4</w:t>
      </w:r>
      <w:r w:rsidRPr="002A610A">
        <w:rPr>
          <w:sz w:val="28"/>
        </w:rPr>
        <w:t xml:space="preserve">р. випуск  промислового виробництва </w:t>
      </w:r>
      <w:r>
        <w:rPr>
          <w:sz w:val="28"/>
        </w:rPr>
        <w:t>становив 81,1</w:t>
      </w:r>
      <w:r w:rsidRPr="002A610A">
        <w:rPr>
          <w:sz w:val="28"/>
        </w:rPr>
        <w:t>%.</w:t>
      </w:r>
    </w:p>
    <w:p w:rsidR="003F113B" w:rsidRPr="002A610A" w:rsidRDefault="003F113B" w:rsidP="003F113B">
      <w:pPr>
        <w:ind w:firstLine="720"/>
        <w:jc w:val="both"/>
        <w:rPr>
          <w:sz w:val="28"/>
        </w:rPr>
      </w:pPr>
    </w:p>
    <w:p w:rsidR="003F113B" w:rsidRDefault="003F113B" w:rsidP="003F113B">
      <w:pPr>
        <w:jc w:val="center"/>
        <w:rPr>
          <w:b/>
          <w:bCs/>
          <w:sz w:val="28"/>
          <w:szCs w:val="28"/>
        </w:rPr>
      </w:pPr>
    </w:p>
    <w:p w:rsidR="003F113B" w:rsidRPr="002A610A" w:rsidRDefault="003F113B" w:rsidP="003F113B">
      <w:pPr>
        <w:ind w:firstLine="720"/>
        <w:jc w:val="both"/>
        <w:rPr>
          <w:sz w:val="28"/>
        </w:rPr>
      </w:pPr>
    </w:p>
    <w:p w:rsidR="003F113B" w:rsidRDefault="003F113B" w:rsidP="003F113B">
      <w:pPr>
        <w:jc w:val="center"/>
        <w:rPr>
          <w:b/>
          <w:bCs/>
          <w:sz w:val="28"/>
          <w:szCs w:val="28"/>
        </w:rPr>
      </w:pPr>
    </w:p>
    <w:p w:rsidR="003F113B" w:rsidRDefault="003F113B" w:rsidP="003F1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СІЛЬСЬКЕ </w:t>
      </w:r>
      <w:r w:rsidRPr="005C7FF2">
        <w:rPr>
          <w:b/>
          <w:sz w:val="28"/>
          <w:szCs w:val="28"/>
        </w:rPr>
        <w:t>ГОСПОДАРСТВО</w:t>
      </w:r>
    </w:p>
    <w:p w:rsidR="003F113B" w:rsidRDefault="003F113B" w:rsidP="003F113B">
      <w:pPr>
        <w:jc w:val="center"/>
        <w:rPr>
          <w:b/>
          <w:sz w:val="28"/>
          <w:szCs w:val="28"/>
        </w:rPr>
      </w:pPr>
    </w:p>
    <w:p w:rsidR="003F113B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b/>
          <w:sz w:val="28"/>
          <w:szCs w:val="28"/>
        </w:rPr>
        <w:t>Індекс обсягу продукції сільськогосподарського виробництва</w:t>
      </w:r>
      <w:r>
        <w:rPr>
          <w:sz w:val="28"/>
          <w:szCs w:val="28"/>
        </w:rPr>
        <w:t xml:space="preserve"> за січень</w:t>
      </w:r>
      <w:r w:rsidRPr="00126D48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квіт</w:t>
      </w:r>
      <w:r>
        <w:rPr>
          <w:sz w:val="28"/>
          <w:szCs w:val="28"/>
          <w:lang w:val="ru-RU"/>
        </w:rPr>
        <w:t>ень</w:t>
      </w:r>
      <w:r>
        <w:rPr>
          <w:sz w:val="28"/>
          <w:szCs w:val="28"/>
        </w:rPr>
        <w:t xml:space="preserve"> 20</w:t>
      </w:r>
      <w:r w:rsidRPr="00D82F79">
        <w:rPr>
          <w:sz w:val="28"/>
          <w:szCs w:val="28"/>
          <w:lang w:val="ru-RU"/>
        </w:rPr>
        <w:t>1</w:t>
      </w:r>
      <w:r w:rsidRPr="00126D4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р. в усіх категоріях господарств, за розрахунками,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</w:t>
      </w:r>
      <w:r w:rsidRPr="00727DCB">
        <w:rPr>
          <w:sz w:val="28"/>
          <w:szCs w:val="28"/>
          <w:lang w:val="ru-RU"/>
        </w:rPr>
        <w:t>94</w:t>
      </w:r>
      <w:r w:rsidRPr="00727DCB">
        <w:rPr>
          <w:sz w:val="28"/>
          <w:szCs w:val="28"/>
        </w:rPr>
        <w:t>,3% до</w:t>
      </w:r>
      <w:r>
        <w:rPr>
          <w:sz w:val="28"/>
          <w:szCs w:val="28"/>
        </w:rPr>
        <w:t xml:space="preserve"> січня–квітня 201</w:t>
      </w:r>
      <w:r w:rsidRPr="00126D4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р. У сільськогосподарських підприємствах він був </w:t>
      </w:r>
      <w:r w:rsidRPr="00126D48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,4%, а в господарствах населення – </w:t>
      </w:r>
      <w:r w:rsidRPr="0068507A">
        <w:rPr>
          <w:sz w:val="28"/>
          <w:szCs w:val="28"/>
          <w:lang w:val="ru-RU"/>
        </w:rPr>
        <w:t>9</w:t>
      </w:r>
      <w:r w:rsidRPr="00126D4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,3%.</w:t>
      </w:r>
    </w:p>
    <w:p w:rsidR="003F113B" w:rsidRPr="004E0C63" w:rsidRDefault="003F113B" w:rsidP="003F113B">
      <w:pPr>
        <w:ind w:firstLine="720"/>
        <w:jc w:val="both"/>
        <w:rPr>
          <w:sz w:val="28"/>
          <w:szCs w:val="28"/>
          <w:lang w:val="ru-RU"/>
        </w:rPr>
      </w:pPr>
    </w:p>
    <w:p w:rsidR="003F113B" w:rsidRPr="00EE1942" w:rsidRDefault="003F113B" w:rsidP="003F113B">
      <w:pPr>
        <w:jc w:val="center"/>
        <w:rPr>
          <w:rFonts w:ascii="Arial" w:hAnsi="Arial" w:cs="Arial"/>
          <w:b/>
        </w:rPr>
      </w:pPr>
      <w:r w:rsidRPr="00EE1942">
        <w:rPr>
          <w:rFonts w:ascii="Arial" w:hAnsi="Arial" w:cs="Arial"/>
          <w:b/>
        </w:rPr>
        <w:t>Зміни обсягів сільськогосподарського виробництва</w:t>
      </w:r>
    </w:p>
    <w:p w:rsidR="003F113B" w:rsidRPr="00C71962" w:rsidRDefault="003F113B" w:rsidP="003F113B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3F113B" w:rsidRDefault="003F113B" w:rsidP="003F113B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періоду попереднього року)</w:t>
      </w:r>
    </w:p>
    <w:p w:rsidR="003F113B" w:rsidRPr="00221C1C" w:rsidRDefault="001022B8" w:rsidP="003F113B">
      <w:pPr>
        <w:jc w:val="both"/>
        <w:rPr>
          <w:sz w:val="28"/>
          <w:szCs w:val="28"/>
          <w:lang w:val="en-US"/>
        </w:rPr>
      </w:pPr>
      <w:r>
        <w:rPr>
          <w:noProof/>
          <w:lang w:val="ru-RU"/>
        </w:rPr>
        <w:drawing>
          <wp:inline distT="0" distB="0" distL="0" distR="0">
            <wp:extent cx="5762625" cy="2695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13B" w:rsidRDefault="003F113B" w:rsidP="003F113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За розрахунками на 1 травня п.р. г</w:t>
      </w:r>
      <w:r w:rsidRPr="0012787F">
        <w:rPr>
          <w:sz w:val="28"/>
          <w:szCs w:val="28"/>
          <w:lang w:val="ru-RU"/>
        </w:rPr>
        <w:t xml:space="preserve">осподарствами всіх категорій </w:t>
      </w:r>
      <w:r w:rsidRPr="002E0636">
        <w:rPr>
          <w:b/>
          <w:sz w:val="28"/>
          <w:szCs w:val="28"/>
          <w:lang w:val="ru-RU"/>
        </w:rPr>
        <w:t>ярі культури посіяні</w:t>
      </w:r>
      <w:r w:rsidRPr="0012787F">
        <w:rPr>
          <w:sz w:val="28"/>
          <w:szCs w:val="28"/>
          <w:lang w:val="ru-RU"/>
        </w:rPr>
        <w:t xml:space="preserve"> на загальній площі 550,6 тис.га (91% до відпо</w:t>
      </w:r>
      <w:r>
        <w:rPr>
          <w:sz w:val="28"/>
          <w:szCs w:val="28"/>
          <w:lang w:val="ru-RU"/>
        </w:rPr>
        <w:t>відного періоду минулого року). П</w:t>
      </w:r>
      <w:r w:rsidRPr="0012787F">
        <w:rPr>
          <w:sz w:val="28"/>
          <w:szCs w:val="28"/>
        </w:rPr>
        <w:t xml:space="preserve">о ярому клину </w:t>
      </w:r>
      <w:r>
        <w:rPr>
          <w:sz w:val="28"/>
          <w:szCs w:val="28"/>
        </w:rPr>
        <w:t>з</w:t>
      </w:r>
      <w:r w:rsidRPr="0012787F">
        <w:rPr>
          <w:sz w:val="28"/>
          <w:szCs w:val="28"/>
        </w:rPr>
        <w:t>ернові та зернобобові культури (без кукурудзи) посіян</w:t>
      </w:r>
      <w:r w:rsidRPr="0012787F">
        <w:rPr>
          <w:sz w:val="28"/>
          <w:szCs w:val="28"/>
          <w:lang w:val="ru-RU"/>
        </w:rPr>
        <w:t>о</w:t>
      </w:r>
      <w:r w:rsidRPr="0012787F">
        <w:rPr>
          <w:sz w:val="28"/>
          <w:szCs w:val="28"/>
        </w:rPr>
        <w:t xml:space="preserve"> на площі 7</w:t>
      </w:r>
      <w:r w:rsidRPr="0012787F">
        <w:rPr>
          <w:sz w:val="28"/>
          <w:szCs w:val="28"/>
          <w:lang w:val="ru-RU"/>
        </w:rPr>
        <w:t>7</w:t>
      </w:r>
      <w:r w:rsidRPr="0012787F">
        <w:rPr>
          <w:sz w:val="28"/>
          <w:szCs w:val="28"/>
        </w:rPr>
        <w:t>,</w:t>
      </w:r>
      <w:r w:rsidRPr="0012787F">
        <w:rPr>
          <w:sz w:val="28"/>
          <w:szCs w:val="28"/>
          <w:lang w:val="ru-RU"/>
        </w:rPr>
        <w:t>3</w:t>
      </w:r>
      <w:r w:rsidRPr="0012787F">
        <w:rPr>
          <w:sz w:val="28"/>
          <w:szCs w:val="28"/>
        </w:rPr>
        <w:t xml:space="preserve"> тис.га (9</w:t>
      </w:r>
      <w:r w:rsidRPr="0012787F">
        <w:rPr>
          <w:sz w:val="28"/>
          <w:szCs w:val="28"/>
          <w:lang w:val="ru-RU"/>
        </w:rPr>
        <w:t>2</w:t>
      </w:r>
      <w:r w:rsidRPr="0012787F">
        <w:rPr>
          <w:sz w:val="28"/>
          <w:szCs w:val="28"/>
        </w:rPr>
        <w:t>,3</w:t>
      </w:r>
      <w:r>
        <w:rPr>
          <w:sz w:val="28"/>
          <w:szCs w:val="28"/>
        </w:rPr>
        <w:t>% рівня минулого року), зернової кукурудзи – 200,3 тис.га (на 23,7% менше), картоплі –</w:t>
      </w:r>
      <w:r w:rsidRPr="00127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50,7 тис.га (на 10,4% менше). </w:t>
      </w:r>
      <w:r w:rsidRPr="0012787F">
        <w:rPr>
          <w:sz w:val="28"/>
          <w:szCs w:val="28"/>
          <w:lang w:val="ru-RU"/>
        </w:rPr>
        <w:t xml:space="preserve">Під урожай поточного року розширено площі під посівами соняшнику на зерно </w:t>
      </w:r>
      <w:r>
        <w:rPr>
          <w:sz w:val="28"/>
          <w:szCs w:val="28"/>
          <w:lang w:val="ru-RU"/>
        </w:rPr>
        <w:t xml:space="preserve">до 127,6 тис.га </w:t>
      </w:r>
      <w:r w:rsidRPr="0012787F">
        <w:rPr>
          <w:sz w:val="28"/>
          <w:szCs w:val="28"/>
          <w:lang w:val="ru-RU"/>
        </w:rPr>
        <w:t>(на 29,2%</w:t>
      </w:r>
      <w:r>
        <w:rPr>
          <w:sz w:val="28"/>
          <w:szCs w:val="28"/>
          <w:lang w:val="ru-RU"/>
        </w:rPr>
        <w:t xml:space="preserve"> більше</w:t>
      </w:r>
      <w:r w:rsidRPr="0012787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3F113B" w:rsidRDefault="003F113B" w:rsidP="003F113B">
      <w:pPr>
        <w:jc w:val="both"/>
        <w:rPr>
          <w:sz w:val="28"/>
          <w:szCs w:val="28"/>
        </w:rPr>
      </w:pPr>
      <w:r>
        <w:tab/>
      </w:r>
      <w:r w:rsidRPr="00273D17">
        <w:rPr>
          <w:sz w:val="28"/>
          <w:szCs w:val="28"/>
        </w:rPr>
        <w:t xml:space="preserve">Господарствами всіх категорій у </w:t>
      </w:r>
      <w:r>
        <w:rPr>
          <w:sz w:val="28"/>
          <w:szCs w:val="28"/>
        </w:rPr>
        <w:t>січні</w:t>
      </w:r>
      <w:r w:rsidRPr="00267C00">
        <w:rPr>
          <w:sz w:val="28"/>
          <w:szCs w:val="28"/>
        </w:rPr>
        <w:t>–</w:t>
      </w:r>
      <w:r>
        <w:rPr>
          <w:sz w:val="28"/>
          <w:szCs w:val="28"/>
        </w:rPr>
        <w:t xml:space="preserve">квітні </w:t>
      </w:r>
      <w:r w:rsidRPr="00273D17">
        <w:rPr>
          <w:sz w:val="28"/>
          <w:szCs w:val="28"/>
        </w:rPr>
        <w:t>201</w:t>
      </w:r>
      <w:r w:rsidRPr="00C66A3E">
        <w:rPr>
          <w:sz w:val="28"/>
          <w:szCs w:val="28"/>
        </w:rPr>
        <w:t>5</w:t>
      </w:r>
      <w:r w:rsidRPr="00273D17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 xml:space="preserve">реалізовані </w:t>
      </w:r>
      <w:r w:rsidRPr="00273D17">
        <w:rPr>
          <w:sz w:val="28"/>
          <w:szCs w:val="28"/>
        </w:rPr>
        <w:t xml:space="preserve">на забій </w:t>
      </w:r>
      <w:r>
        <w:rPr>
          <w:sz w:val="28"/>
          <w:szCs w:val="28"/>
        </w:rPr>
        <w:t>21,9</w:t>
      </w:r>
      <w:r w:rsidRPr="00273D17">
        <w:rPr>
          <w:sz w:val="28"/>
          <w:szCs w:val="28"/>
        </w:rPr>
        <w:t xml:space="preserve"> тис.т худоби та птиці (у живій вазі), що на </w:t>
      </w:r>
      <w:r>
        <w:rPr>
          <w:sz w:val="28"/>
          <w:szCs w:val="28"/>
        </w:rPr>
        <w:t>13</w:t>
      </w:r>
      <w:r w:rsidRPr="00C66A3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273D17">
        <w:rPr>
          <w:sz w:val="28"/>
          <w:szCs w:val="28"/>
        </w:rPr>
        <w:t xml:space="preserve">% </w:t>
      </w:r>
      <w:r w:rsidRPr="00C66A3E">
        <w:rPr>
          <w:sz w:val="28"/>
          <w:szCs w:val="28"/>
        </w:rPr>
        <w:t>менше</w:t>
      </w:r>
      <w:r w:rsidRPr="00273D17">
        <w:rPr>
          <w:sz w:val="28"/>
          <w:szCs w:val="28"/>
        </w:rPr>
        <w:t xml:space="preserve">, ніж </w:t>
      </w:r>
      <w:r>
        <w:rPr>
          <w:sz w:val="28"/>
          <w:szCs w:val="28"/>
        </w:rPr>
        <w:t>у січні–квітні 201</w:t>
      </w:r>
      <w:r w:rsidRPr="00C66A3E">
        <w:rPr>
          <w:sz w:val="28"/>
          <w:szCs w:val="28"/>
        </w:rPr>
        <w:t>4</w:t>
      </w:r>
      <w:r w:rsidRPr="00273D17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73D17">
        <w:rPr>
          <w:sz w:val="28"/>
          <w:szCs w:val="28"/>
        </w:rPr>
        <w:t xml:space="preserve">, вироблені </w:t>
      </w:r>
      <w:r>
        <w:rPr>
          <w:sz w:val="28"/>
          <w:szCs w:val="28"/>
        </w:rPr>
        <w:t>156,2</w:t>
      </w:r>
      <w:r w:rsidRPr="00273D17">
        <w:rPr>
          <w:sz w:val="28"/>
          <w:szCs w:val="28"/>
        </w:rPr>
        <w:t xml:space="preserve"> тис.т молока (на </w:t>
      </w:r>
      <w:r>
        <w:rPr>
          <w:sz w:val="28"/>
          <w:szCs w:val="28"/>
        </w:rPr>
        <w:t>2,4</w:t>
      </w:r>
      <w:r w:rsidRPr="00273D17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273D17">
        <w:rPr>
          <w:sz w:val="28"/>
          <w:szCs w:val="28"/>
        </w:rPr>
        <w:t xml:space="preserve">) та </w:t>
      </w:r>
      <w:r>
        <w:rPr>
          <w:sz w:val="28"/>
          <w:szCs w:val="28"/>
        </w:rPr>
        <w:t xml:space="preserve">   102,3</w:t>
      </w:r>
      <w:r w:rsidRPr="00273D17">
        <w:rPr>
          <w:sz w:val="28"/>
          <w:szCs w:val="28"/>
        </w:rPr>
        <w:t xml:space="preserve"> млн.шт. яєць (на </w:t>
      </w:r>
      <w:r>
        <w:rPr>
          <w:sz w:val="28"/>
          <w:szCs w:val="28"/>
        </w:rPr>
        <w:t>1,4</w:t>
      </w:r>
      <w:r w:rsidRPr="00273D17">
        <w:rPr>
          <w:sz w:val="28"/>
          <w:szCs w:val="28"/>
        </w:rPr>
        <w:t xml:space="preserve">% </w:t>
      </w:r>
      <w:r w:rsidRPr="00C66A3E">
        <w:rPr>
          <w:sz w:val="28"/>
          <w:szCs w:val="28"/>
        </w:rPr>
        <w:t>менше</w:t>
      </w:r>
      <w:r w:rsidRPr="00273D17">
        <w:rPr>
          <w:sz w:val="28"/>
          <w:szCs w:val="28"/>
        </w:rPr>
        <w:t>).</w:t>
      </w:r>
    </w:p>
    <w:p w:rsidR="003F113B" w:rsidRPr="007303D3" w:rsidRDefault="003F113B" w:rsidP="003F113B">
      <w:pPr>
        <w:ind w:firstLine="709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58%, м</w:t>
      </w:r>
      <w:r w:rsidRPr="007303D3">
        <w:rPr>
          <w:sz w:val="28"/>
          <w:szCs w:val="28"/>
        </w:rPr>
        <w:t xml:space="preserve">олока – </w:t>
      </w:r>
      <w:r>
        <w:rPr>
          <w:sz w:val="28"/>
          <w:szCs w:val="28"/>
        </w:rPr>
        <w:t>55,6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78,8</w:t>
      </w:r>
      <w:r w:rsidRPr="007303D3">
        <w:rPr>
          <w:sz w:val="28"/>
          <w:szCs w:val="28"/>
        </w:rPr>
        <w:t>%.</w:t>
      </w:r>
    </w:p>
    <w:p w:rsidR="003F113B" w:rsidRDefault="003F113B" w:rsidP="003F113B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t xml:space="preserve">За розрахунками, на 1 </w:t>
      </w:r>
      <w:r>
        <w:rPr>
          <w:sz w:val="28"/>
          <w:szCs w:val="28"/>
        </w:rPr>
        <w:t>травня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5</w:t>
      </w:r>
      <w:r w:rsidRPr="000E0A3D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27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7,5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1 травня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21,3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6,6</w:t>
      </w:r>
      <w:r w:rsidRPr="000E0A3D">
        <w:rPr>
          <w:sz w:val="28"/>
          <w:szCs w:val="28"/>
        </w:rPr>
        <w:t xml:space="preserve">% менше), свиней – </w:t>
      </w:r>
      <w:r>
        <w:rPr>
          <w:sz w:val="28"/>
          <w:szCs w:val="28"/>
          <w:lang w:val="ru-RU"/>
        </w:rPr>
        <w:t xml:space="preserve">184,7 </w:t>
      </w:r>
      <w:r w:rsidRPr="000E0A3D">
        <w:rPr>
          <w:sz w:val="28"/>
          <w:szCs w:val="28"/>
        </w:rPr>
        <w:t>тис. (на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ru-RU"/>
        </w:rPr>
        <w:t>17,1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>46,2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7,8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</w:t>
      </w:r>
      <w:r>
        <w:rPr>
          <w:sz w:val="28"/>
          <w:szCs w:val="28"/>
          <w:lang w:val="en-US"/>
        </w:rPr>
        <w:t> </w:t>
      </w:r>
      <w:r w:rsidRPr="000E0A3D">
        <w:rPr>
          <w:sz w:val="28"/>
          <w:szCs w:val="28"/>
        </w:rPr>
        <w:t>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3107,6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  <w:lang w:val="ru-RU"/>
        </w:rPr>
        <w:t>13,9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>).</w:t>
      </w:r>
    </w:p>
    <w:p w:rsidR="003F113B" w:rsidRDefault="003F113B" w:rsidP="003F113B">
      <w:pPr>
        <w:ind w:firstLine="720"/>
        <w:jc w:val="both"/>
        <w:rPr>
          <w:sz w:val="28"/>
        </w:rPr>
      </w:pPr>
      <w:r w:rsidRPr="00273D17">
        <w:rPr>
          <w:sz w:val="28"/>
          <w:szCs w:val="28"/>
        </w:rPr>
        <w:t xml:space="preserve">У господарствах </w:t>
      </w:r>
      <w:r w:rsidRPr="0080424B">
        <w:rPr>
          <w:b/>
          <w:sz w:val="28"/>
          <w:szCs w:val="28"/>
        </w:rPr>
        <w:t>населення</w:t>
      </w:r>
      <w:r w:rsidRPr="00273D17">
        <w:rPr>
          <w:sz w:val="28"/>
          <w:szCs w:val="28"/>
        </w:rPr>
        <w:t xml:space="preserve"> </w:t>
      </w:r>
      <w:r>
        <w:rPr>
          <w:sz w:val="28"/>
        </w:rPr>
        <w:t>утримувалося 41,3% великої рогатої худоби (у т.ч. корів – 57,1%), 51,2% свиней, 91,6% овець та кіз,  90,9% птиці від загальної чисельності в області.</w:t>
      </w:r>
      <w:r>
        <w:rPr>
          <w:sz w:val="28"/>
        </w:rPr>
        <w:tab/>
      </w:r>
    </w:p>
    <w:p w:rsidR="003F113B" w:rsidRDefault="003F113B" w:rsidP="003F11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Загальний обсяг реалізованої сільськогосподарськими підприєм-ствами (крім малих) власно виробленої аграрної продукції за січень–квітень</w:t>
      </w:r>
      <w:r w:rsidRPr="00BE7283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Pr="00BE7283">
        <w:rPr>
          <w:sz w:val="28"/>
          <w:szCs w:val="28"/>
        </w:rPr>
        <w:t>5</w:t>
      </w:r>
      <w:r>
        <w:rPr>
          <w:sz w:val="28"/>
          <w:szCs w:val="28"/>
        </w:rPr>
        <w:t>р. порівняно із січнем–квітнем 201</w:t>
      </w:r>
      <w:r w:rsidRPr="00E915B3">
        <w:rPr>
          <w:sz w:val="28"/>
          <w:szCs w:val="28"/>
        </w:rPr>
        <w:t>4</w:t>
      </w:r>
      <w:r>
        <w:rPr>
          <w:sz w:val="28"/>
          <w:szCs w:val="28"/>
        </w:rPr>
        <w:t xml:space="preserve">р. збільшився у </w:t>
      </w:r>
      <w:r w:rsidRPr="00746000">
        <w:rPr>
          <w:sz w:val="28"/>
          <w:szCs w:val="28"/>
        </w:rPr>
        <w:t>2,</w:t>
      </w:r>
      <w:r>
        <w:rPr>
          <w:sz w:val="28"/>
          <w:szCs w:val="28"/>
        </w:rPr>
        <w:t>4</w:t>
      </w:r>
      <w:r w:rsidRPr="00746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раза, у т.ч. рослинницької – у 2,7 раза, тваринницької </w:t>
      </w:r>
      <w:r w:rsidRPr="00B51BA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 24,1%. Частка продукції рослинництва в загальній вартості становила 90%, тваринництва – 10%. </w:t>
      </w:r>
    </w:p>
    <w:p w:rsidR="003F113B" w:rsidRPr="002B65CD" w:rsidRDefault="003F113B" w:rsidP="003F113B">
      <w:pPr>
        <w:ind w:firstLine="720"/>
        <w:jc w:val="both"/>
        <w:rPr>
          <w:sz w:val="28"/>
          <w:lang w:val="ru-RU"/>
        </w:rPr>
      </w:pPr>
      <w:r>
        <w:rPr>
          <w:sz w:val="28"/>
        </w:rPr>
        <w:t xml:space="preserve">На 1 травня 2015р.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2E0636">
        <w:rPr>
          <w:b/>
          <w:sz w:val="28"/>
        </w:rPr>
        <w:t>були в наявності</w:t>
      </w:r>
      <w:r>
        <w:rPr>
          <w:sz w:val="28"/>
        </w:rPr>
        <w:t xml:space="preserve"> 675,3 тис.т зерна (в 1,7 раза більше проти              1 травня 2014р.), у т.ч. 68,6 тис.т пшениці, 39 тис.т ячменю, 510,5 тис.т кукурудзи, 25</w:t>
      </w:r>
      <w:r w:rsidRPr="00B95239">
        <w:rPr>
          <w:sz w:val="28"/>
        </w:rPr>
        <w:t>,</w:t>
      </w:r>
      <w:r>
        <w:rPr>
          <w:sz w:val="28"/>
        </w:rPr>
        <w:t>8 тис.т жита. Насіння соняшнику зберігалося 20</w:t>
      </w:r>
      <w:r>
        <w:rPr>
          <w:b/>
          <w:i/>
          <w:sz w:val="28"/>
        </w:rPr>
        <w:t xml:space="preserve"> </w:t>
      </w:r>
      <w:r>
        <w:rPr>
          <w:sz w:val="28"/>
        </w:rPr>
        <w:t>тис.т (на 39</w:t>
      </w:r>
      <w:r w:rsidRPr="00B95239">
        <w:rPr>
          <w:sz w:val="28"/>
        </w:rPr>
        <w:t>,</w:t>
      </w:r>
      <w:r>
        <w:rPr>
          <w:sz w:val="28"/>
        </w:rPr>
        <w:t xml:space="preserve">7% менше, ніж рік тому). </w:t>
      </w:r>
    </w:p>
    <w:p w:rsidR="003F113B" w:rsidRPr="008644A2" w:rsidRDefault="003F113B" w:rsidP="003F113B">
      <w:pPr>
        <w:jc w:val="center"/>
        <w:rPr>
          <w:b/>
          <w:sz w:val="20"/>
          <w:szCs w:val="20"/>
        </w:rPr>
      </w:pPr>
    </w:p>
    <w:p w:rsidR="003F113B" w:rsidRDefault="003F113B" w:rsidP="003F113B">
      <w:pPr>
        <w:jc w:val="center"/>
        <w:rPr>
          <w:b/>
          <w:sz w:val="28"/>
          <w:szCs w:val="20"/>
        </w:rPr>
      </w:pPr>
      <w:r w:rsidRPr="009B2BAE">
        <w:rPr>
          <w:b/>
          <w:sz w:val="28"/>
          <w:szCs w:val="20"/>
        </w:rPr>
        <w:t>БУДІВН</w:t>
      </w:r>
      <w:r>
        <w:rPr>
          <w:b/>
          <w:sz w:val="28"/>
          <w:szCs w:val="20"/>
        </w:rPr>
        <w:t>ИЦТВО</w:t>
      </w:r>
    </w:p>
    <w:p w:rsidR="003F113B" w:rsidRPr="008644A2" w:rsidRDefault="003F113B" w:rsidP="003F113B">
      <w:pPr>
        <w:jc w:val="center"/>
        <w:rPr>
          <w:b/>
          <w:sz w:val="20"/>
          <w:szCs w:val="20"/>
        </w:rPr>
      </w:pPr>
    </w:p>
    <w:p w:rsidR="003F113B" w:rsidRPr="008934F6" w:rsidRDefault="003F113B" w:rsidP="003F113B">
      <w:pPr>
        <w:jc w:val="both"/>
        <w:rPr>
          <w:sz w:val="28"/>
        </w:rPr>
      </w:pPr>
      <w:r w:rsidRPr="000A3640">
        <w:rPr>
          <w:b/>
          <w:sz w:val="28"/>
        </w:rPr>
        <w:tab/>
      </w:r>
      <w:r w:rsidRPr="004734C3">
        <w:rPr>
          <w:bCs/>
          <w:sz w:val="28"/>
          <w:szCs w:val="28"/>
          <w:lang w:eastAsia="uk-UA"/>
        </w:rPr>
        <w:t>Підприємствами області за січень–квітень 2015р.</w:t>
      </w:r>
      <w:r>
        <w:rPr>
          <w:b/>
          <w:bCs/>
          <w:sz w:val="28"/>
          <w:szCs w:val="28"/>
          <w:lang w:eastAsia="uk-UA"/>
        </w:rPr>
        <w:t xml:space="preserve"> виконані</w:t>
      </w:r>
      <w:r w:rsidRPr="008934F6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будівельні роботи </w:t>
      </w:r>
      <w:r>
        <w:rPr>
          <w:sz w:val="28"/>
          <w:szCs w:val="28"/>
          <w:lang w:eastAsia="uk-UA"/>
        </w:rPr>
        <w:t>на суму 1</w:t>
      </w:r>
      <w:r w:rsidRPr="008934F6">
        <w:rPr>
          <w:sz w:val="28"/>
          <w:szCs w:val="28"/>
          <w:lang w:eastAsia="uk-UA"/>
        </w:rPr>
        <w:t>22</w:t>
      </w:r>
      <w:r>
        <w:rPr>
          <w:sz w:val="28"/>
          <w:szCs w:val="28"/>
          <w:lang w:eastAsia="uk-UA"/>
        </w:rPr>
        <w:t>,</w:t>
      </w:r>
      <w:r w:rsidRPr="008934F6">
        <w:rPr>
          <w:sz w:val="28"/>
          <w:szCs w:val="28"/>
          <w:lang w:eastAsia="uk-UA"/>
        </w:rPr>
        <w:t>2</w:t>
      </w:r>
      <w:r>
        <w:rPr>
          <w:sz w:val="28"/>
          <w:szCs w:val="28"/>
          <w:lang w:eastAsia="uk-UA"/>
        </w:rPr>
        <w:t xml:space="preserve"> млн.грн. </w:t>
      </w:r>
      <w:r w:rsidRPr="004734C3">
        <w:rPr>
          <w:b/>
          <w:sz w:val="28"/>
          <w:szCs w:val="28"/>
          <w:lang w:eastAsia="uk-UA"/>
        </w:rPr>
        <w:t>Індекс будівельної продукції</w:t>
      </w:r>
      <w:r w:rsidRPr="008934F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 області в січні–квітні 201</w:t>
      </w:r>
      <w:r w:rsidRPr="008934F6">
        <w:rPr>
          <w:sz w:val="28"/>
          <w:szCs w:val="28"/>
          <w:lang w:eastAsia="uk-UA"/>
        </w:rPr>
        <w:t>5</w:t>
      </w:r>
      <w:r>
        <w:rPr>
          <w:sz w:val="28"/>
          <w:szCs w:val="28"/>
          <w:lang w:eastAsia="uk-UA"/>
        </w:rPr>
        <w:t xml:space="preserve">р. становив </w:t>
      </w:r>
      <w:r w:rsidRPr="008934F6">
        <w:rPr>
          <w:sz w:val="28"/>
          <w:szCs w:val="28"/>
          <w:lang w:eastAsia="uk-UA"/>
        </w:rPr>
        <w:t>73</w:t>
      </w:r>
      <w:r>
        <w:rPr>
          <w:sz w:val="28"/>
          <w:szCs w:val="28"/>
          <w:lang w:eastAsia="uk-UA"/>
        </w:rPr>
        <w:t>,</w:t>
      </w:r>
      <w:r w:rsidRPr="008934F6">
        <w:rPr>
          <w:sz w:val="28"/>
          <w:szCs w:val="28"/>
          <w:lang w:eastAsia="uk-UA"/>
        </w:rPr>
        <w:t>9</w:t>
      </w:r>
      <w:r>
        <w:rPr>
          <w:sz w:val="28"/>
          <w:szCs w:val="28"/>
          <w:lang w:eastAsia="uk-UA"/>
        </w:rPr>
        <w:t>% проти відповідного періоду</w:t>
      </w:r>
      <w:r w:rsidRPr="008934F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201</w:t>
      </w:r>
      <w:r w:rsidRPr="008934F6">
        <w:rPr>
          <w:sz w:val="28"/>
          <w:szCs w:val="28"/>
          <w:lang w:eastAsia="uk-UA"/>
        </w:rPr>
        <w:t>4</w:t>
      </w:r>
      <w:r>
        <w:rPr>
          <w:sz w:val="28"/>
          <w:szCs w:val="28"/>
          <w:lang w:eastAsia="uk-UA"/>
        </w:rPr>
        <w:t>р.</w:t>
      </w:r>
      <w:r w:rsidRPr="008934F6">
        <w:rPr>
          <w:sz w:val="28"/>
          <w:szCs w:val="28"/>
          <w:lang w:eastAsia="uk-UA"/>
        </w:rPr>
        <w:t xml:space="preserve"> </w:t>
      </w:r>
      <w:r w:rsidRPr="008934F6">
        <w:rPr>
          <w:sz w:val="28"/>
        </w:rPr>
        <w:t>Індекс будівельної продукції на будівництві будівель склав 73,2%                      (на будівництві житлових будівель – 75,2%, нежитлових – 67,9%),             на будівництві інженерних споруд – 76%.</w:t>
      </w:r>
    </w:p>
    <w:p w:rsidR="003F113B" w:rsidRPr="005D4C93" w:rsidRDefault="003F113B" w:rsidP="003F11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Pr="005D4C93">
        <w:rPr>
          <w:sz w:val="28"/>
          <w:szCs w:val="28"/>
        </w:rPr>
        <w:t>Нове будівництво, реконструкція, розширення та технічне переоснащення склали 88,8%  від  загального  обсягу виконаних будівельних робіт,  капітальний і поточний ремонти – 3,5% та 7,7%  відповідно.</w:t>
      </w:r>
    </w:p>
    <w:p w:rsidR="003F113B" w:rsidRPr="00595CFE" w:rsidRDefault="003F113B" w:rsidP="003F113B">
      <w:pPr>
        <w:autoSpaceDE w:val="0"/>
        <w:autoSpaceDN w:val="0"/>
        <w:adjustRightInd w:val="0"/>
        <w:jc w:val="both"/>
      </w:pPr>
      <w:r>
        <w:rPr>
          <w:sz w:val="28"/>
          <w:szCs w:val="28"/>
          <w:lang w:eastAsia="uk-UA"/>
        </w:rPr>
        <w:tab/>
        <w:t xml:space="preserve">Підприємствами м.Чернігова виконано </w:t>
      </w:r>
      <w:r w:rsidRPr="005D4C93">
        <w:rPr>
          <w:sz w:val="28"/>
          <w:szCs w:val="28"/>
          <w:lang w:val="ru-RU" w:eastAsia="uk-UA"/>
        </w:rPr>
        <w:t>71</w:t>
      </w:r>
      <w:r>
        <w:rPr>
          <w:sz w:val="28"/>
          <w:szCs w:val="28"/>
          <w:lang w:eastAsia="uk-UA"/>
        </w:rPr>
        <w:t>,</w:t>
      </w:r>
      <w:r w:rsidRPr="005D4C93">
        <w:rPr>
          <w:sz w:val="28"/>
          <w:szCs w:val="28"/>
          <w:lang w:val="ru-RU" w:eastAsia="uk-UA"/>
        </w:rPr>
        <w:t>8</w:t>
      </w:r>
      <w:r>
        <w:rPr>
          <w:sz w:val="28"/>
          <w:szCs w:val="28"/>
          <w:lang w:eastAsia="uk-UA"/>
        </w:rPr>
        <w:t>% загального обсягу</w:t>
      </w:r>
      <w:r w:rsidRPr="008934F6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будівництва в області, м.Прилук – 22,5%</w:t>
      </w:r>
      <w:r w:rsidRPr="005D4C93">
        <w:rPr>
          <w:sz w:val="28"/>
          <w:szCs w:val="28"/>
          <w:lang w:val="ru-RU" w:eastAsia="uk-UA"/>
        </w:rPr>
        <w:t>.</w:t>
      </w:r>
      <w:r w:rsidRPr="00595CFE">
        <w:t xml:space="preserve"> </w:t>
      </w:r>
    </w:p>
    <w:p w:rsidR="003F113B" w:rsidRPr="00212D3B" w:rsidRDefault="003F113B" w:rsidP="003F113B">
      <w:pPr>
        <w:jc w:val="both"/>
        <w:rPr>
          <w:sz w:val="28"/>
          <w:szCs w:val="28"/>
        </w:rPr>
      </w:pPr>
      <w:r w:rsidRPr="00595CFE">
        <w:rPr>
          <w:b/>
          <w:sz w:val="28"/>
          <w:szCs w:val="28"/>
        </w:rPr>
        <w:tab/>
      </w:r>
      <w:r w:rsidRPr="004734C3">
        <w:rPr>
          <w:sz w:val="28"/>
          <w:szCs w:val="28"/>
        </w:rPr>
        <w:t xml:space="preserve">У січні–березні 2015р. </w:t>
      </w:r>
      <w:r w:rsidRPr="004734C3">
        <w:rPr>
          <w:b/>
          <w:sz w:val="28"/>
          <w:szCs w:val="28"/>
        </w:rPr>
        <w:t>за рахунок будівництва нових житлових будинків та розширення існуючого житлового фонду в області</w:t>
      </w:r>
      <w:r w:rsidRPr="004734C3">
        <w:rPr>
          <w:sz w:val="28"/>
          <w:szCs w:val="28"/>
        </w:rPr>
        <w:t xml:space="preserve"> </w:t>
      </w:r>
      <w:r w:rsidRPr="00212D3B">
        <w:rPr>
          <w:b/>
          <w:sz w:val="28"/>
          <w:szCs w:val="28"/>
        </w:rPr>
        <w:t>прийнято в експлуатацію</w:t>
      </w:r>
      <w:r w:rsidRPr="00212D3B">
        <w:rPr>
          <w:sz w:val="28"/>
          <w:szCs w:val="28"/>
        </w:rPr>
        <w:t xml:space="preserve"> 94 житлові будівлі загальною площею </w:t>
      </w:r>
      <w:r>
        <w:rPr>
          <w:sz w:val="28"/>
          <w:szCs w:val="28"/>
        </w:rPr>
        <w:t xml:space="preserve">           </w:t>
      </w:r>
      <w:r w:rsidRPr="00212D3B">
        <w:rPr>
          <w:sz w:val="28"/>
          <w:szCs w:val="28"/>
        </w:rPr>
        <w:t xml:space="preserve">27,3 </w:t>
      </w:r>
      <w:r>
        <w:rPr>
          <w:sz w:val="28"/>
          <w:szCs w:val="28"/>
        </w:rPr>
        <w:t xml:space="preserve">тис. </w:t>
      </w:r>
      <w:r w:rsidRPr="00212D3B">
        <w:rPr>
          <w:sz w:val="28"/>
          <w:szCs w:val="28"/>
        </w:rPr>
        <w:t>м</w:t>
      </w:r>
      <w:r w:rsidRPr="00212D3B">
        <w:rPr>
          <w:sz w:val="28"/>
          <w:szCs w:val="28"/>
          <w:vertAlign w:val="superscript"/>
        </w:rPr>
        <w:t>2</w:t>
      </w:r>
      <w:r w:rsidRPr="00212D3B">
        <w:rPr>
          <w:sz w:val="28"/>
          <w:szCs w:val="28"/>
        </w:rPr>
        <w:t>, що на 17,5% більше порівн</w:t>
      </w:r>
      <w:r w:rsidRPr="00212D3B">
        <w:rPr>
          <w:sz w:val="28"/>
          <w:szCs w:val="28"/>
        </w:rPr>
        <w:t>я</w:t>
      </w:r>
      <w:r w:rsidRPr="00212D3B">
        <w:rPr>
          <w:sz w:val="28"/>
          <w:szCs w:val="28"/>
        </w:rPr>
        <w:t>но із січнем–березнем 2014р.</w:t>
      </w:r>
      <w:r w:rsidRPr="00212D3B">
        <w:rPr>
          <w:kern w:val="2"/>
          <w:sz w:val="28"/>
          <w:szCs w:val="28"/>
        </w:rPr>
        <w:t xml:space="preserve"> </w:t>
      </w:r>
      <w:r w:rsidRPr="00212D3B">
        <w:rPr>
          <w:sz w:val="28"/>
          <w:szCs w:val="28"/>
        </w:rPr>
        <w:t>Майже три чверті (71,7%) загального обсягу житла прийнято в експлуатацію в одноквартирних будинках, 26,2% – у будинках із двома й більше квартирами, 2,1% – у гуртожитках.</w:t>
      </w:r>
    </w:p>
    <w:p w:rsidR="003F113B" w:rsidRPr="00212D3B" w:rsidRDefault="003F113B" w:rsidP="003F113B">
      <w:pPr>
        <w:ind w:firstLine="708"/>
        <w:jc w:val="both"/>
        <w:rPr>
          <w:sz w:val="28"/>
        </w:rPr>
      </w:pPr>
      <w:r w:rsidRPr="00212D3B">
        <w:rPr>
          <w:sz w:val="28"/>
        </w:rPr>
        <w:t>У міських поселеннях побудовано 19,5 тис.м</w:t>
      </w:r>
      <w:r w:rsidRPr="00212D3B">
        <w:rPr>
          <w:sz w:val="28"/>
          <w:vertAlign w:val="superscript"/>
        </w:rPr>
        <w:t>2</w:t>
      </w:r>
      <w:r w:rsidRPr="00212D3B">
        <w:rPr>
          <w:sz w:val="28"/>
        </w:rPr>
        <w:t>, що становить 92,7% проти січня–березня 2014р., у сільській місцевості –</w:t>
      </w:r>
      <w:r w:rsidRPr="00212D3B">
        <w:rPr>
          <w:sz w:val="28"/>
          <w:lang w:val="ru-RU"/>
        </w:rPr>
        <w:t xml:space="preserve"> 7,8 тис.</w:t>
      </w:r>
      <w:r w:rsidRPr="00212D3B">
        <w:rPr>
          <w:sz w:val="28"/>
        </w:rPr>
        <w:t>м</w:t>
      </w:r>
      <w:r w:rsidRPr="00212D3B">
        <w:rPr>
          <w:sz w:val="28"/>
          <w:vertAlign w:val="superscript"/>
        </w:rPr>
        <w:t>2</w:t>
      </w:r>
      <w:r w:rsidRPr="00212D3B">
        <w:rPr>
          <w:sz w:val="28"/>
        </w:rPr>
        <w:softHyphen/>
        <w:t xml:space="preserve"> (351,2%). </w:t>
      </w:r>
    </w:p>
    <w:p w:rsidR="003F113B" w:rsidRPr="00212D3B" w:rsidRDefault="003F113B" w:rsidP="003F113B">
      <w:pPr>
        <w:jc w:val="both"/>
        <w:rPr>
          <w:sz w:val="28"/>
        </w:rPr>
      </w:pPr>
      <w:r w:rsidRPr="008934F6">
        <w:rPr>
          <w:color w:val="FF0000"/>
          <w:kern w:val="2"/>
        </w:rPr>
        <w:tab/>
      </w:r>
      <w:r w:rsidRPr="00212D3B">
        <w:rPr>
          <w:sz w:val="28"/>
        </w:rPr>
        <w:t>Частка прийнятого житла в м.Чернігові склала 39,9%, м.Ніжині – 7,6%, Козелецькому районі – 12,8%,  Чернігівському – 12,7%.</w:t>
      </w:r>
    </w:p>
    <w:p w:rsidR="003F113B" w:rsidRPr="006E6AF5" w:rsidRDefault="003F113B" w:rsidP="003F113B">
      <w:pPr>
        <w:jc w:val="both"/>
        <w:rPr>
          <w:sz w:val="28"/>
        </w:rPr>
      </w:pPr>
      <w:r w:rsidRPr="008934F6">
        <w:rPr>
          <w:color w:val="FF0000"/>
          <w:sz w:val="28"/>
        </w:rPr>
        <w:tab/>
      </w:r>
      <w:r w:rsidRPr="006E6AF5">
        <w:rPr>
          <w:sz w:val="28"/>
        </w:rPr>
        <w:t>В області введено 241 квартиру, середній розмір яких складає       95,7 м</w:t>
      </w:r>
      <w:r w:rsidRPr="006E6AF5">
        <w:rPr>
          <w:sz w:val="28"/>
          <w:vertAlign w:val="superscript"/>
        </w:rPr>
        <w:t>2</w:t>
      </w:r>
      <w:r w:rsidRPr="006E6AF5">
        <w:rPr>
          <w:sz w:val="28"/>
        </w:rPr>
        <w:t>. У міських поселеннях прийнято в експлуатацію 198 квартир, середній розмір яких становить 86,5 м</w:t>
      </w:r>
      <w:r w:rsidRPr="006E6AF5">
        <w:rPr>
          <w:sz w:val="28"/>
          <w:vertAlign w:val="superscript"/>
        </w:rPr>
        <w:t>2</w:t>
      </w:r>
      <w:r w:rsidRPr="006E6AF5">
        <w:rPr>
          <w:sz w:val="28"/>
        </w:rPr>
        <w:t>, у сільській місцевості –                 43 (138 м</w:t>
      </w:r>
      <w:r w:rsidRPr="006E6AF5">
        <w:rPr>
          <w:sz w:val="28"/>
          <w:vertAlign w:val="superscript"/>
        </w:rPr>
        <w:t>2</w:t>
      </w:r>
      <w:r w:rsidRPr="006E6AF5">
        <w:rPr>
          <w:sz w:val="28"/>
        </w:rPr>
        <w:t xml:space="preserve">). </w:t>
      </w:r>
    </w:p>
    <w:p w:rsidR="003F113B" w:rsidRPr="006E6AF5" w:rsidRDefault="003F113B" w:rsidP="003F113B">
      <w:pPr>
        <w:jc w:val="both"/>
      </w:pPr>
      <w:r w:rsidRPr="006E6AF5">
        <w:rPr>
          <w:sz w:val="28"/>
        </w:rPr>
        <w:tab/>
        <w:t xml:space="preserve">З початку року прийнято в експлуатацію амбулаторно-поліклінічний заклад на 8 відвідувань за зміну.  </w:t>
      </w:r>
    </w:p>
    <w:p w:rsidR="003F113B" w:rsidRPr="006E6AF5" w:rsidRDefault="003F113B" w:rsidP="003F113B">
      <w:pPr>
        <w:jc w:val="both"/>
        <w:rPr>
          <w:sz w:val="28"/>
          <w:szCs w:val="28"/>
        </w:rPr>
      </w:pPr>
      <w:r w:rsidRPr="006E6AF5">
        <w:rPr>
          <w:sz w:val="28"/>
        </w:rPr>
        <w:lastRenderedPageBreak/>
        <w:tab/>
        <w:t xml:space="preserve">Також в області прийнято в експлуатацію </w:t>
      </w:r>
      <w:r w:rsidRPr="006E6AF5">
        <w:rPr>
          <w:sz w:val="28"/>
          <w:szCs w:val="28"/>
        </w:rPr>
        <w:t>магазини та павільйони торговою площею 1100 м</w:t>
      </w:r>
      <w:r w:rsidRPr="006E6AF5">
        <w:rPr>
          <w:sz w:val="28"/>
          <w:szCs w:val="28"/>
          <w:vertAlign w:val="superscript"/>
        </w:rPr>
        <w:t>2</w:t>
      </w:r>
      <w:r w:rsidRPr="006E6AF5">
        <w:rPr>
          <w:sz w:val="28"/>
          <w:szCs w:val="28"/>
        </w:rPr>
        <w:t xml:space="preserve"> та 317 м</w:t>
      </w:r>
      <w:r w:rsidRPr="006E6AF5">
        <w:rPr>
          <w:sz w:val="28"/>
          <w:szCs w:val="28"/>
          <w:vertAlign w:val="superscript"/>
        </w:rPr>
        <w:t>2</w:t>
      </w:r>
      <w:r w:rsidRPr="006E6AF5">
        <w:rPr>
          <w:sz w:val="28"/>
          <w:szCs w:val="28"/>
        </w:rPr>
        <w:t xml:space="preserve"> відповідно, кафе, закусочні на                      111 посадочних місць, місцеві водопровідні мережі – 5,9</w:t>
      </w:r>
      <w:r>
        <w:rPr>
          <w:sz w:val="28"/>
          <w:szCs w:val="28"/>
        </w:rPr>
        <w:t xml:space="preserve"> км.</w:t>
      </w:r>
    </w:p>
    <w:p w:rsidR="003F113B" w:rsidRPr="006E6AF5" w:rsidRDefault="003F113B" w:rsidP="003F113B">
      <w:pPr>
        <w:ind w:right="70"/>
        <w:jc w:val="both"/>
        <w:rPr>
          <w:sz w:val="28"/>
          <w:szCs w:val="28"/>
        </w:rPr>
      </w:pPr>
      <w:r w:rsidRPr="006E6AF5">
        <w:rPr>
          <w:sz w:val="28"/>
        </w:rPr>
        <w:tab/>
        <w:t xml:space="preserve">Для потреб сільського господарства збудовано елеватори на                    90 тис.т одночасного зберігання,  зерноочисно-сушильні пункти на  </w:t>
      </w:r>
      <w:r>
        <w:rPr>
          <w:sz w:val="28"/>
        </w:rPr>
        <w:t xml:space="preserve">       161</w:t>
      </w:r>
      <w:r w:rsidRPr="006E6AF5">
        <w:rPr>
          <w:sz w:val="28"/>
        </w:rPr>
        <w:t xml:space="preserve"> тис.т, </w:t>
      </w:r>
      <w:r w:rsidRPr="006E6AF5">
        <w:rPr>
          <w:sz w:val="28"/>
          <w:szCs w:val="28"/>
        </w:rPr>
        <w:t xml:space="preserve">приміщення для свиней на 1800 скотомісць. </w:t>
      </w:r>
    </w:p>
    <w:p w:rsidR="003F113B" w:rsidRPr="008644A2" w:rsidRDefault="003F113B" w:rsidP="003F113B">
      <w:pPr>
        <w:jc w:val="both"/>
        <w:rPr>
          <w:sz w:val="20"/>
          <w:szCs w:val="20"/>
        </w:rPr>
      </w:pPr>
      <w:r w:rsidRPr="000A3640">
        <w:rPr>
          <w:b/>
          <w:sz w:val="28"/>
        </w:rPr>
        <w:tab/>
      </w:r>
      <w:r w:rsidRPr="000A3640">
        <w:rPr>
          <w:b/>
          <w:sz w:val="28"/>
        </w:rPr>
        <w:tab/>
      </w:r>
    </w:p>
    <w:p w:rsidR="003F113B" w:rsidRDefault="003F113B" w:rsidP="003F113B">
      <w:pPr>
        <w:jc w:val="center"/>
        <w:rPr>
          <w:b/>
          <w:sz w:val="28"/>
          <w:szCs w:val="28"/>
        </w:rPr>
      </w:pPr>
      <w:r w:rsidRPr="00B5579F">
        <w:rPr>
          <w:b/>
          <w:sz w:val="28"/>
          <w:szCs w:val="28"/>
        </w:rPr>
        <w:t>ТРАНСПОРТ</w:t>
      </w:r>
    </w:p>
    <w:p w:rsidR="003F113B" w:rsidRDefault="003F113B" w:rsidP="003F113B">
      <w:pPr>
        <w:jc w:val="center"/>
        <w:rPr>
          <w:b/>
          <w:sz w:val="28"/>
          <w:szCs w:val="28"/>
        </w:rPr>
      </w:pPr>
    </w:p>
    <w:p w:rsidR="003F113B" w:rsidRPr="004224A5" w:rsidRDefault="003F113B" w:rsidP="003F113B">
      <w:pPr>
        <w:ind w:firstLine="720"/>
        <w:jc w:val="both"/>
        <w:rPr>
          <w:sz w:val="28"/>
        </w:rPr>
      </w:pPr>
      <w:r w:rsidRPr="00F354B6">
        <w:rPr>
          <w:sz w:val="28"/>
        </w:rPr>
        <w:t>Підприємства автомобільного транспорту, з урахуванням перевезень, виконаних фізичними особами-підприємцями, у</w:t>
      </w:r>
      <w:r>
        <w:rPr>
          <w:sz w:val="28"/>
        </w:rPr>
        <w:t xml:space="preserve"> січні</w:t>
      </w:r>
      <w:r w:rsidRPr="004E0C63">
        <w:rPr>
          <w:sz w:val="28"/>
        </w:rPr>
        <w:t>–квітні</w:t>
      </w:r>
      <w:r w:rsidRPr="00F354B6">
        <w:rPr>
          <w:sz w:val="28"/>
        </w:rPr>
        <w:t xml:space="preserve"> 201</w:t>
      </w:r>
      <w:r>
        <w:rPr>
          <w:sz w:val="28"/>
        </w:rPr>
        <w:t>5</w:t>
      </w:r>
      <w:r w:rsidRPr="00F354B6">
        <w:rPr>
          <w:sz w:val="28"/>
        </w:rPr>
        <w:t xml:space="preserve">р. </w:t>
      </w:r>
      <w:r w:rsidRPr="008C1531">
        <w:rPr>
          <w:b/>
          <w:sz w:val="28"/>
        </w:rPr>
        <w:t xml:space="preserve">перевезли </w:t>
      </w:r>
      <w:r>
        <w:rPr>
          <w:sz w:val="28"/>
        </w:rPr>
        <w:t>401,6</w:t>
      </w:r>
      <w:r w:rsidRPr="00F354B6">
        <w:rPr>
          <w:sz w:val="28"/>
        </w:rPr>
        <w:t xml:space="preserve"> тис.т </w:t>
      </w:r>
      <w:r w:rsidRPr="008C1531">
        <w:rPr>
          <w:b/>
          <w:sz w:val="28"/>
        </w:rPr>
        <w:t>вантажів,</w:t>
      </w:r>
      <w:r w:rsidRPr="00F354B6">
        <w:rPr>
          <w:sz w:val="28"/>
        </w:rPr>
        <w:t xml:space="preserve"> що становить </w:t>
      </w:r>
      <w:r>
        <w:rPr>
          <w:sz w:val="28"/>
        </w:rPr>
        <w:t>76,1</w:t>
      </w:r>
      <w:r w:rsidRPr="00F354B6">
        <w:rPr>
          <w:sz w:val="28"/>
        </w:rPr>
        <w:t xml:space="preserve">% рівня </w:t>
      </w:r>
      <w:r>
        <w:rPr>
          <w:sz w:val="28"/>
        </w:rPr>
        <w:t xml:space="preserve"> січня–квітня </w:t>
      </w:r>
      <w:r w:rsidRPr="00F354B6">
        <w:rPr>
          <w:sz w:val="28"/>
        </w:rPr>
        <w:t>201</w:t>
      </w:r>
      <w:r>
        <w:rPr>
          <w:sz w:val="28"/>
        </w:rPr>
        <w:t>4</w:t>
      </w:r>
      <w:r w:rsidRPr="00F354B6">
        <w:rPr>
          <w:sz w:val="28"/>
        </w:rPr>
        <w:t xml:space="preserve">р. </w:t>
      </w:r>
      <w:r w:rsidRPr="004224A5">
        <w:rPr>
          <w:sz w:val="28"/>
        </w:rPr>
        <w:t xml:space="preserve">Обсяг виконаного вантажообороту становив </w:t>
      </w:r>
      <w:r>
        <w:rPr>
          <w:sz w:val="28"/>
        </w:rPr>
        <w:t>149,2 млн.ткм (75,6</w:t>
      </w:r>
      <w:r w:rsidRPr="004224A5">
        <w:rPr>
          <w:sz w:val="28"/>
        </w:rPr>
        <w:t>%).</w:t>
      </w:r>
      <w:r>
        <w:rPr>
          <w:sz w:val="28"/>
        </w:rPr>
        <w:t xml:space="preserve"> </w:t>
      </w:r>
    </w:p>
    <w:p w:rsidR="003F113B" w:rsidRPr="00F354B6" w:rsidRDefault="003F113B" w:rsidP="003F113B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 xml:space="preserve">Послугами </w:t>
      </w:r>
      <w:r w:rsidRPr="008C1531">
        <w:rPr>
          <w:b/>
          <w:sz w:val="28"/>
          <w:szCs w:val="28"/>
        </w:rPr>
        <w:t>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 скористалися </w:t>
      </w:r>
      <w:r>
        <w:rPr>
          <w:sz w:val="28"/>
          <w:szCs w:val="28"/>
        </w:rPr>
        <w:t>30,6 </w:t>
      </w:r>
      <w:r w:rsidRPr="00F354B6">
        <w:rPr>
          <w:sz w:val="28"/>
          <w:szCs w:val="28"/>
        </w:rPr>
        <w:t>млн. пасажирів, що становить 9</w:t>
      </w:r>
      <w:r>
        <w:rPr>
          <w:sz w:val="28"/>
          <w:szCs w:val="28"/>
        </w:rPr>
        <w:t>2,7</w:t>
      </w:r>
      <w:r w:rsidRPr="00F354B6">
        <w:rPr>
          <w:sz w:val="28"/>
          <w:szCs w:val="28"/>
        </w:rPr>
        <w:t xml:space="preserve">% рівня </w:t>
      </w:r>
      <w:r>
        <w:rPr>
          <w:sz w:val="28"/>
          <w:szCs w:val="28"/>
        </w:rPr>
        <w:t xml:space="preserve">січня–квітня </w:t>
      </w:r>
      <w:r w:rsidRPr="00F354B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р. Пасажирооборот виконано в обсязі</w:t>
      </w:r>
      <w:r>
        <w:rPr>
          <w:sz w:val="28"/>
          <w:szCs w:val="28"/>
        </w:rPr>
        <w:t xml:space="preserve"> 271,4</w:t>
      </w:r>
      <w:r w:rsidRPr="00F354B6">
        <w:rPr>
          <w:sz w:val="28"/>
          <w:szCs w:val="28"/>
        </w:rPr>
        <w:t xml:space="preserve"> млн.пас.км (9</w:t>
      </w:r>
      <w:r>
        <w:rPr>
          <w:sz w:val="28"/>
          <w:szCs w:val="28"/>
        </w:rPr>
        <w:t>6,8</w:t>
      </w:r>
      <w:r w:rsidRPr="00F354B6">
        <w:rPr>
          <w:sz w:val="28"/>
          <w:szCs w:val="28"/>
        </w:rPr>
        <w:t xml:space="preserve">%). </w:t>
      </w:r>
    </w:p>
    <w:p w:rsidR="003F113B" w:rsidRPr="00F354B6" w:rsidRDefault="003F113B" w:rsidP="003F113B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</w:t>
      </w:r>
      <w:r>
        <w:rPr>
          <w:sz w:val="28"/>
          <w:szCs w:val="28"/>
        </w:rPr>
        <w:t>17,7</w:t>
      </w:r>
      <w:r w:rsidRPr="00F354B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</w:t>
      </w:r>
      <w:r>
        <w:rPr>
          <w:sz w:val="28"/>
          <w:szCs w:val="28"/>
        </w:rPr>
        <w:t>5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F354B6">
        <w:rPr>
          <w:sz w:val="28"/>
          <w:szCs w:val="28"/>
        </w:rPr>
        <w:t>% рівня</w:t>
      </w:r>
      <w:r>
        <w:rPr>
          <w:sz w:val="28"/>
          <w:szCs w:val="28"/>
        </w:rPr>
        <w:t xml:space="preserve"> січня–квітня</w:t>
      </w:r>
      <w:r w:rsidRPr="00F354B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 xml:space="preserve">р. Обсяг виконаного пасажирообороту  становив </w:t>
      </w:r>
      <w:r>
        <w:rPr>
          <w:sz w:val="28"/>
          <w:szCs w:val="28"/>
        </w:rPr>
        <w:t xml:space="preserve">211,8 </w:t>
      </w:r>
      <w:r w:rsidRPr="00F354B6">
        <w:rPr>
          <w:sz w:val="28"/>
          <w:szCs w:val="28"/>
        </w:rPr>
        <w:t>млн.пас.км (</w:t>
      </w:r>
      <w:r>
        <w:rPr>
          <w:sz w:val="28"/>
          <w:szCs w:val="28"/>
        </w:rPr>
        <w:t>94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F354B6"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3F113B" w:rsidRPr="00F354B6" w:rsidRDefault="003F113B" w:rsidP="003F113B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</w:t>
      </w:r>
      <w:r>
        <w:rPr>
          <w:sz w:val="28"/>
        </w:rPr>
        <w:t>4,3</w:t>
      </w:r>
      <w:r w:rsidRPr="00F354B6">
        <w:rPr>
          <w:sz w:val="28"/>
        </w:rPr>
        <w:t xml:space="preserve">%. </w:t>
      </w:r>
    </w:p>
    <w:p w:rsidR="003F113B" w:rsidRPr="008644A2" w:rsidRDefault="003F113B" w:rsidP="003F113B">
      <w:pPr>
        <w:ind w:firstLine="720"/>
        <w:jc w:val="both"/>
        <w:rPr>
          <w:sz w:val="20"/>
          <w:szCs w:val="20"/>
        </w:rPr>
      </w:pPr>
    </w:p>
    <w:p w:rsidR="003F113B" w:rsidRPr="008644A2" w:rsidRDefault="003F113B" w:rsidP="003F113B">
      <w:pPr>
        <w:jc w:val="center"/>
        <w:rPr>
          <w:b/>
          <w:sz w:val="20"/>
          <w:szCs w:val="20"/>
        </w:rPr>
      </w:pPr>
    </w:p>
    <w:p w:rsidR="003F113B" w:rsidRDefault="003F113B" w:rsidP="003F113B">
      <w:pPr>
        <w:jc w:val="center"/>
        <w:rPr>
          <w:b/>
          <w:sz w:val="28"/>
          <w:szCs w:val="28"/>
        </w:rPr>
      </w:pPr>
      <w:r w:rsidRPr="002619D4">
        <w:rPr>
          <w:b/>
          <w:sz w:val="28"/>
          <w:szCs w:val="28"/>
        </w:rPr>
        <w:t>ЗОВНІШНЬОЕКОНОМІЧНА ДІЯЛЬНІСТЬ</w:t>
      </w:r>
    </w:p>
    <w:p w:rsidR="003F113B" w:rsidRDefault="003F113B" w:rsidP="003F113B">
      <w:pPr>
        <w:jc w:val="center"/>
        <w:rPr>
          <w:b/>
          <w:sz w:val="20"/>
          <w:szCs w:val="20"/>
        </w:rPr>
      </w:pPr>
    </w:p>
    <w:p w:rsidR="003F113B" w:rsidRPr="004734C3" w:rsidRDefault="003F113B" w:rsidP="003F113B">
      <w:pPr>
        <w:ind w:firstLine="720"/>
        <w:jc w:val="both"/>
        <w:rPr>
          <w:sz w:val="28"/>
        </w:rPr>
      </w:pPr>
      <w:r w:rsidRPr="004734C3">
        <w:rPr>
          <w:sz w:val="28"/>
        </w:rPr>
        <w:t>Обсяг експорту</w:t>
      </w:r>
      <w:r w:rsidRPr="004734C3">
        <w:rPr>
          <w:b/>
          <w:sz w:val="28"/>
        </w:rPr>
        <w:t xml:space="preserve"> товарів та послуг</w:t>
      </w:r>
      <w:r w:rsidRPr="004734C3">
        <w:rPr>
          <w:sz w:val="28"/>
        </w:rPr>
        <w:t xml:space="preserve"> за січень–березень 2015р.</w:t>
      </w:r>
      <w:r w:rsidRPr="004734C3">
        <w:rPr>
          <w:b/>
          <w:sz w:val="28"/>
        </w:rPr>
        <w:t xml:space="preserve"> </w:t>
      </w:r>
      <w:r w:rsidRPr="004734C3">
        <w:rPr>
          <w:sz w:val="28"/>
        </w:rPr>
        <w:t>становив 155,9</w:t>
      </w:r>
      <w:r w:rsidRPr="004734C3">
        <w:rPr>
          <w:sz w:val="28"/>
          <w:lang w:val="ru-RU"/>
        </w:rPr>
        <w:t xml:space="preserve"> </w:t>
      </w:r>
      <w:r w:rsidRPr="004734C3">
        <w:rPr>
          <w:sz w:val="28"/>
        </w:rPr>
        <w:t>млн.дол.</w:t>
      </w:r>
      <w:r w:rsidRPr="004734C3">
        <w:rPr>
          <w:sz w:val="28"/>
          <w:lang w:val="ru-RU"/>
        </w:rPr>
        <w:t xml:space="preserve"> </w:t>
      </w:r>
      <w:r w:rsidRPr="004734C3">
        <w:rPr>
          <w:sz w:val="28"/>
        </w:rPr>
        <w:t>США, імпорту – 90,6 млн.дол.</w:t>
      </w:r>
      <w:r w:rsidRPr="004734C3">
        <w:rPr>
          <w:sz w:val="28"/>
          <w:lang w:val="en-US"/>
        </w:rPr>
        <w:t> </w:t>
      </w:r>
      <w:r w:rsidRPr="004734C3">
        <w:rPr>
          <w:sz w:val="28"/>
        </w:rPr>
        <w:t>США. Порівняно із</w:t>
      </w:r>
      <w:r w:rsidRPr="004734C3">
        <w:rPr>
          <w:color w:val="FF0000"/>
          <w:sz w:val="28"/>
        </w:rPr>
        <w:t xml:space="preserve"> </w:t>
      </w:r>
      <w:r w:rsidRPr="004734C3">
        <w:rPr>
          <w:sz w:val="28"/>
        </w:rPr>
        <w:t>січнем–березнем 2014р. експорт зменшився</w:t>
      </w:r>
      <w:r w:rsidRPr="004734C3">
        <w:rPr>
          <w:color w:val="FF0000"/>
          <w:sz w:val="28"/>
        </w:rPr>
        <w:t xml:space="preserve"> </w:t>
      </w:r>
      <w:r w:rsidRPr="004734C3">
        <w:rPr>
          <w:sz w:val="28"/>
        </w:rPr>
        <w:t>на 5,6%, імпорт – на 42%.</w:t>
      </w:r>
      <w:r w:rsidRPr="004734C3">
        <w:rPr>
          <w:color w:val="FF0000"/>
          <w:sz w:val="28"/>
        </w:rPr>
        <w:t xml:space="preserve">  </w:t>
      </w:r>
      <w:r w:rsidRPr="004734C3">
        <w:rPr>
          <w:sz w:val="28"/>
        </w:rPr>
        <w:t xml:space="preserve">Позитивне сальдо зовнішньоторговельного балансу становило 65,3 млн.дол. США  (у  січні–березні 2014р.  – 9 млн.дол.).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За</w:t>
      </w:r>
      <w:r w:rsidRPr="004734C3">
        <w:rPr>
          <w:sz w:val="28"/>
          <w:szCs w:val="28"/>
          <w:lang w:val="ru-RU"/>
        </w:rPr>
        <w:t xml:space="preserve"> </w:t>
      </w:r>
      <w:r w:rsidRPr="004734C3">
        <w:rPr>
          <w:sz w:val="28"/>
          <w:szCs w:val="28"/>
        </w:rPr>
        <w:t>січень–березень 2015р. обсяги експорту та</w:t>
      </w:r>
      <w:r w:rsidRPr="004734C3">
        <w:rPr>
          <w:b/>
          <w:sz w:val="28"/>
          <w:szCs w:val="28"/>
        </w:rPr>
        <w:t xml:space="preserve"> </w:t>
      </w:r>
      <w:r w:rsidRPr="004734C3">
        <w:rPr>
          <w:sz w:val="28"/>
          <w:szCs w:val="28"/>
        </w:rPr>
        <w:t>імпорту</w:t>
      </w:r>
      <w:r w:rsidRPr="004734C3">
        <w:rPr>
          <w:b/>
          <w:sz w:val="28"/>
          <w:szCs w:val="28"/>
        </w:rPr>
        <w:t xml:space="preserve"> товарів</w:t>
      </w:r>
      <w:r w:rsidRPr="004734C3">
        <w:rPr>
          <w:b/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становили, відповідно,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151 млн.дол. США та</w:t>
      </w:r>
      <w:r w:rsidRPr="004734C3">
        <w:rPr>
          <w:b/>
          <w:sz w:val="28"/>
          <w:szCs w:val="28"/>
        </w:rPr>
        <w:t xml:space="preserve"> </w:t>
      </w:r>
      <w:r w:rsidRPr="004734C3">
        <w:rPr>
          <w:sz w:val="28"/>
          <w:szCs w:val="28"/>
        </w:rPr>
        <w:t>89,9 млн.дол. США.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Порівняно із січнем–березнем  2014р. експорт  зменшився на 5,5%, імпорт</w:t>
      </w:r>
      <w:r>
        <w:rPr>
          <w:sz w:val="28"/>
          <w:szCs w:val="28"/>
          <w:lang w:val="en-US"/>
        </w:rPr>
        <w:t> </w:t>
      </w:r>
      <w:r w:rsidRPr="004734C3">
        <w:rPr>
          <w:sz w:val="28"/>
          <w:szCs w:val="28"/>
        </w:rPr>
        <w:t>– на 41,4%. Позитивне  сальдо зовнішньої торгівлі товарами склало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 xml:space="preserve">61,1 млн.дол. США (у січні–березні 2014р. також позитивне – 6,3 млн.дол.).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t xml:space="preserve">  </w:t>
      </w:r>
      <w:r w:rsidRPr="004734C3">
        <w:rPr>
          <w:sz w:val="28"/>
          <w:szCs w:val="28"/>
        </w:rPr>
        <w:t>Коефіцієнт покриття експортом імпорту становив 1,</w:t>
      </w:r>
      <w:r w:rsidRPr="004734C3">
        <w:rPr>
          <w:sz w:val="28"/>
          <w:szCs w:val="28"/>
          <w:lang w:val="ru-RU"/>
        </w:rPr>
        <w:t>68</w:t>
      </w:r>
      <w:r w:rsidRPr="004734C3">
        <w:rPr>
          <w:sz w:val="28"/>
          <w:szCs w:val="28"/>
        </w:rPr>
        <w:t xml:space="preserve"> (у січні–березні  2014р. –  1,04).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Партнерами  підприємств та організацій області були 94 країни світу        (з них 26 країн ЄС).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Обсяг експорту товарів до країн Європейського Союзу становив 53,1 млн.дол. США,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або 35,1% від загального обсягу експорту товарів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color w:val="FF0000"/>
          <w:sz w:val="28"/>
        </w:rPr>
        <w:t xml:space="preserve"> </w:t>
      </w:r>
      <w:r w:rsidRPr="004734C3">
        <w:rPr>
          <w:sz w:val="28"/>
          <w:szCs w:val="28"/>
        </w:rPr>
        <w:t>(у</w:t>
      </w:r>
      <w:r>
        <w:rPr>
          <w:sz w:val="28"/>
          <w:szCs w:val="28"/>
          <w:lang w:val="en-US"/>
        </w:rPr>
        <w:t> </w:t>
      </w:r>
      <w:r w:rsidRPr="004734C3">
        <w:rPr>
          <w:sz w:val="28"/>
          <w:szCs w:val="28"/>
        </w:rPr>
        <w:t>січні–березні 2014р. –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62,4 млн.дол. США, або 39%), та зменшився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проти січня–березня 2014р. на 9,3 млн.дол., або на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14,9%.</w:t>
      </w:r>
    </w:p>
    <w:p w:rsidR="003F113B" w:rsidRPr="004734C3" w:rsidRDefault="003F113B" w:rsidP="003F113B">
      <w:pPr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lastRenderedPageBreak/>
        <w:tab/>
      </w:r>
      <w:r w:rsidRPr="004734C3">
        <w:rPr>
          <w:sz w:val="28"/>
          <w:szCs w:val="28"/>
        </w:rPr>
        <w:t>Серед країн-членів ЄС найвагоміші експортні поставки здійснювалися до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 xml:space="preserve">Нідерландів, Іспанії, Румунії, Італії, Німеччини, Портуґалії  та  Польщі. </w:t>
      </w:r>
    </w:p>
    <w:p w:rsidR="003F113B" w:rsidRPr="004734C3" w:rsidRDefault="003F113B" w:rsidP="003F113B">
      <w:pPr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tab/>
      </w:r>
      <w:r w:rsidRPr="004734C3">
        <w:rPr>
          <w:sz w:val="28"/>
          <w:szCs w:val="28"/>
        </w:rPr>
        <w:t xml:space="preserve">Серед інших країн найбільше експортувалися товари до Російської Федерації, Єгипту, Ірану, Ісламської Республіки, Кореї, Республіки, Туреччини, Білорусі, Китаю та Південної Африки. </w:t>
      </w:r>
    </w:p>
    <w:p w:rsidR="003F113B" w:rsidRPr="004734C3" w:rsidRDefault="003F113B" w:rsidP="003F113B">
      <w:pPr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tab/>
      </w:r>
      <w:r w:rsidRPr="004734C3">
        <w:rPr>
          <w:sz w:val="28"/>
          <w:szCs w:val="28"/>
        </w:rPr>
        <w:t>Проти січня–березня 2014р. збільшився експорт товарів до Південної Африки (в 11,7 раза), Ірану,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Ісламської Республіки (у 5,6 раза), Кореї, Республіки (у 5,1 раза),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Єгипту (у 3,7 раза), Туреччини (у 2,2 раза), Нідерландів та Портуґалії (в 1,8 раза  до кожної), Китаю (на 21,6%), Румунії (на 7,5%);  зменшився – до Італії та Білорусі (у 2,1 раза до кожної), Російської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Федерації (на 40,3%), Іспанії (на 19,2%),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Німеччини (на 15,1%).</w:t>
      </w:r>
      <w:r w:rsidRPr="004734C3">
        <w:rPr>
          <w:color w:val="FF0000"/>
          <w:sz w:val="28"/>
          <w:szCs w:val="28"/>
        </w:rPr>
        <w:tab/>
      </w:r>
      <w:r w:rsidRPr="004734C3">
        <w:rPr>
          <w:sz w:val="28"/>
          <w:szCs w:val="28"/>
        </w:rPr>
        <w:t>У загальному обсязі експорту товарів порівняно із січнем–березнем 2014р.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збільшилася частка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зернових культур, деревини та виробів із неї.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Натомість зменшилася частка готових харчових продуктів, машин, обладнання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та механізмів, електротехнічного обладнання,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паперу та картону,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текстильних матеріалів та текстильних виробів,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насіння і плодів олійних рослин, молока та молочних продуктів, взуття.</w:t>
      </w:r>
    </w:p>
    <w:p w:rsidR="003F113B" w:rsidRPr="004734C3" w:rsidRDefault="003F113B" w:rsidP="003F113B">
      <w:pPr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tab/>
      </w:r>
      <w:r w:rsidRPr="004734C3">
        <w:rPr>
          <w:sz w:val="28"/>
          <w:szCs w:val="28"/>
        </w:rPr>
        <w:t>Імпорт товарів із країн Європейського Союзу становив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40,7 млн.дол.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США,</w:t>
      </w:r>
      <w:r w:rsidRPr="004734C3">
        <w:rPr>
          <w:color w:val="FF0000"/>
          <w:sz w:val="28"/>
          <w:szCs w:val="28"/>
        </w:rPr>
        <w:t xml:space="preserve">  </w:t>
      </w:r>
      <w:r w:rsidRPr="004734C3">
        <w:rPr>
          <w:sz w:val="28"/>
          <w:szCs w:val="28"/>
        </w:rPr>
        <w:t>або 45,2% загального обсягу (у січні–березні 2014р., відповідно,</w:t>
      </w:r>
      <w:r w:rsidRPr="004734C3">
        <w:rPr>
          <w:color w:val="FF0000"/>
          <w:sz w:val="28"/>
          <w:szCs w:val="28"/>
        </w:rPr>
        <w:t xml:space="preserve">         </w:t>
      </w:r>
      <w:r w:rsidRPr="004734C3">
        <w:rPr>
          <w:sz w:val="28"/>
          <w:szCs w:val="28"/>
        </w:rPr>
        <w:t xml:space="preserve">58,7 млн.дол., або 38,2%), та зменшився проти січня–березня 2014р. на           18 млн.дол., або на 30,7%.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 xml:space="preserve"> Найвагоміші імпортні поставки товарів серед країн-членів ЄС здійснювалися з Німеччини, Італії, Румунії,  Болгарії, Нідерландів</w:t>
      </w:r>
      <w:r>
        <w:rPr>
          <w:sz w:val="28"/>
          <w:szCs w:val="28"/>
        </w:rPr>
        <w:t xml:space="preserve">, </w:t>
      </w:r>
      <w:r w:rsidRPr="004734C3">
        <w:rPr>
          <w:sz w:val="28"/>
          <w:szCs w:val="28"/>
        </w:rPr>
        <w:t xml:space="preserve"> Великої Британії</w:t>
      </w:r>
      <w:r>
        <w:rPr>
          <w:sz w:val="28"/>
          <w:szCs w:val="28"/>
        </w:rPr>
        <w:t xml:space="preserve"> та Угорщини</w:t>
      </w:r>
      <w:r w:rsidRPr="004734C3">
        <w:rPr>
          <w:sz w:val="28"/>
          <w:szCs w:val="28"/>
        </w:rPr>
        <w:t xml:space="preserve">. </w:t>
      </w:r>
    </w:p>
    <w:p w:rsidR="003F113B" w:rsidRPr="004734C3" w:rsidRDefault="003F113B" w:rsidP="003F113B">
      <w:pPr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tab/>
      </w:r>
      <w:r w:rsidRPr="004734C3">
        <w:rPr>
          <w:sz w:val="28"/>
          <w:szCs w:val="28"/>
        </w:rPr>
        <w:t xml:space="preserve">Серед інших країн світу найбільші імпортні надходження були з Білорусі, Російської Федерації, Китаю, Бразілії, Індії,  Туреччини, Мозамбіку та Японії.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Порівняно із січнем–березнем  2014р. значно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(з 8,2 тис.дол. США до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4334,5 тис.дол.) зросли надходження з Румунії. Збільшилися поставки з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Туреччини (в 1,7 раза),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Болгарії (на 26,4%),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Італії (на 20,3%), Японії (на</w:t>
      </w:r>
      <w:r>
        <w:rPr>
          <w:sz w:val="28"/>
          <w:szCs w:val="28"/>
          <w:lang w:val="en-US"/>
        </w:rPr>
        <w:t> </w:t>
      </w:r>
      <w:r w:rsidRPr="004734C3">
        <w:rPr>
          <w:sz w:val="28"/>
          <w:szCs w:val="28"/>
        </w:rPr>
        <w:t>10,8%); зменшилися –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з Китаю (у 3,1 раза), Німеччини та Російської Федерації (у 2,1 раза), Індії (на 24,1%), Нідерландів (на 22,3%), Бразілії (на</w:t>
      </w:r>
      <w:r>
        <w:rPr>
          <w:sz w:val="28"/>
          <w:szCs w:val="28"/>
          <w:lang w:val="en-US"/>
        </w:rPr>
        <w:t> </w:t>
      </w:r>
      <w:r w:rsidRPr="004734C3">
        <w:rPr>
          <w:sz w:val="28"/>
          <w:szCs w:val="28"/>
        </w:rPr>
        <w:t xml:space="preserve">15,8%), Мозамбіку (на 15,7%), Білорусі (на 10,2%).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У загальному обсязі імпорту товарів збільшилася частка зернових культур, готових харчових продуктів,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мінеральних продуктів, продукції хімічної та пов’язаних із нею галузей промисловості,</w:t>
      </w:r>
      <w:r w:rsidRPr="004734C3">
        <w:rPr>
          <w:bCs/>
          <w:sz w:val="28"/>
        </w:rPr>
        <w:t xml:space="preserve"> </w:t>
      </w:r>
      <w:r w:rsidRPr="004734C3">
        <w:rPr>
          <w:sz w:val="28"/>
          <w:szCs w:val="28"/>
        </w:rPr>
        <w:t xml:space="preserve"> </w:t>
      </w:r>
      <w:r w:rsidRPr="004734C3">
        <w:rPr>
          <w:bCs/>
          <w:sz w:val="28"/>
        </w:rPr>
        <w:t>полімерних матеріалів, пла</w:t>
      </w:r>
      <w:r w:rsidRPr="004734C3">
        <w:rPr>
          <w:bCs/>
          <w:sz w:val="28"/>
        </w:rPr>
        <w:t>с</w:t>
      </w:r>
      <w:r w:rsidRPr="004734C3">
        <w:rPr>
          <w:bCs/>
          <w:sz w:val="28"/>
        </w:rPr>
        <w:t>тмас та виробів із них,</w:t>
      </w:r>
      <w:r w:rsidRPr="004734C3">
        <w:rPr>
          <w:sz w:val="28"/>
          <w:szCs w:val="28"/>
        </w:rPr>
        <w:t xml:space="preserve"> текстильних матеріалів та текстильних виробів</w:t>
      </w:r>
      <w:r w:rsidRPr="004734C3">
        <w:rPr>
          <w:bCs/>
          <w:sz w:val="28"/>
        </w:rPr>
        <w:t>.</w:t>
      </w:r>
      <w:r w:rsidRPr="004734C3">
        <w:rPr>
          <w:bCs/>
          <w:color w:val="FF0000"/>
          <w:sz w:val="28"/>
        </w:rPr>
        <w:t xml:space="preserve"> </w:t>
      </w:r>
      <w:r w:rsidRPr="004734C3">
        <w:rPr>
          <w:sz w:val="28"/>
          <w:szCs w:val="28"/>
        </w:rPr>
        <w:t>Зменшилася частка котлів, машин, паперу та картону.</w:t>
      </w:r>
    </w:p>
    <w:p w:rsidR="003F113B" w:rsidRPr="004734C3" w:rsidRDefault="003F113B" w:rsidP="003F113B">
      <w:pPr>
        <w:ind w:firstLine="720"/>
        <w:jc w:val="both"/>
        <w:rPr>
          <w:sz w:val="28"/>
        </w:rPr>
      </w:pPr>
      <w:r w:rsidRPr="004734C3">
        <w:rPr>
          <w:sz w:val="28"/>
        </w:rPr>
        <w:t xml:space="preserve">Обсяги експорту та імпорту </w:t>
      </w:r>
      <w:r w:rsidRPr="004734C3">
        <w:rPr>
          <w:b/>
          <w:sz w:val="28"/>
        </w:rPr>
        <w:t xml:space="preserve">послуг </w:t>
      </w:r>
      <w:r w:rsidRPr="004734C3">
        <w:rPr>
          <w:sz w:val="28"/>
        </w:rPr>
        <w:t>за січень–березень 2015р.</w:t>
      </w:r>
      <w:r w:rsidRPr="004734C3">
        <w:rPr>
          <w:b/>
          <w:sz w:val="28"/>
        </w:rPr>
        <w:t xml:space="preserve"> </w:t>
      </w:r>
      <w:r w:rsidRPr="004734C3">
        <w:rPr>
          <w:sz w:val="28"/>
        </w:rPr>
        <w:t xml:space="preserve">становили, відповідно, </w:t>
      </w:r>
      <w:r w:rsidRPr="004734C3">
        <w:rPr>
          <w:sz w:val="28"/>
          <w:lang w:val="ru-RU"/>
        </w:rPr>
        <w:t>4</w:t>
      </w:r>
      <w:r w:rsidRPr="004734C3">
        <w:rPr>
          <w:sz w:val="28"/>
        </w:rPr>
        <w:t xml:space="preserve">,9 млн.дол. США та </w:t>
      </w:r>
      <w:r w:rsidRPr="004734C3">
        <w:rPr>
          <w:sz w:val="28"/>
          <w:lang w:val="ru-RU"/>
        </w:rPr>
        <w:t>0</w:t>
      </w:r>
      <w:r w:rsidRPr="004734C3">
        <w:rPr>
          <w:sz w:val="28"/>
        </w:rPr>
        <w:t>,</w:t>
      </w:r>
      <w:r w:rsidRPr="004734C3">
        <w:rPr>
          <w:sz w:val="28"/>
          <w:lang w:val="ru-RU"/>
        </w:rPr>
        <w:t>7</w:t>
      </w:r>
      <w:r w:rsidRPr="004734C3">
        <w:rPr>
          <w:b/>
          <w:sz w:val="28"/>
        </w:rPr>
        <w:t xml:space="preserve"> </w:t>
      </w:r>
      <w:r w:rsidRPr="004734C3">
        <w:rPr>
          <w:sz w:val="28"/>
        </w:rPr>
        <w:t xml:space="preserve">млн.дол. США. </w:t>
      </w:r>
      <w:r w:rsidRPr="004734C3">
        <w:rPr>
          <w:sz w:val="28"/>
          <w:szCs w:val="28"/>
        </w:rPr>
        <w:t>Порівняно із січнем–березнем 2014р. експорт зменшився на 9,7%, імпорт – у 3,9 раза. Позитивне сальдо зовнішньої торгівлі послугами склало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 xml:space="preserve">4,2 млн.дол. США (у січні–березні 2014р. також позитивне – 2,7 млн.дол.).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lastRenderedPageBreak/>
        <w:t>Коефіцієнт покриття експортом імпорту становив 7,1 (у січні–березні 2014р. –  1,99).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Зовнішньоторговельні операції послугами підприємства та організації області здійснювали з партнерами  55 країн світу (з них 23</w:t>
      </w:r>
      <w:r>
        <w:rPr>
          <w:sz w:val="28"/>
          <w:szCs w:val="28"/>
          <w:lang w:val="en-US"/>
        </w:rPr>
        <w:t> </w:t>
      </w:r>
      <w:r w:rsidRPr="004734C3">
        <w:rPr>
          <w:sz w:val="28"/>
          <w:szCs w:val="28"/>
        </w:rPr>
        <w:t>країни ЄС).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Експорт послуг країнам Європейського Союзу становив</w:t>
      </w:r>
      <w:r w:rsidRPr="004734C3">
        <w:rPr>
          <w:color w:val="FF0000"/>
          <w:sz w:val="28"/>
          <w:szCs w:val="28"/>
        </w:rPr>
        <w:t xml:space="preserve">  </w:t>
      </w:r>
      <w:r w:rsidRPr="004734C3">
        <w:rPr>
          <w:sz w:val="28"/>
          <w:szCs w:val="28"/>
        </w:rPr>
        <w:t>2,9 млн.дол. США, або 59,7% від загального обсягу експорту послуг (у січні–березні     2014р. – 3,2 млн.дол. США, або 60,1%).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Найбільші обсяги експорту послуг серед країн</w:t>
      </w:r>
      <w:r>
        <w:rPr>
          <w:sz w:val="28"/>
          <w:szCs w:val="28"/>
        </w:rPr>
        <w:t>-</w:t>
      </w:r>
      <w:r w:rsidRPr="004734C3">
        <w:rPr>
          <w:sz w:val="28"/>
          <w:szCs w:val="28"/>
        </w:rPr>
        <w:t xml:space="preserve">членів ЄС надавалися Румунії, Німеччині, Нідерландам, Великій Британії, Франції та Італії. 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Серед інших країн світу найбільше послуг надано Сейшельським Островам, Канаді, США, Російській Федерації.</w:t>
      </w:r>
    </w:p>
    <w:p w:rsidR="003F113B" w:rsidRPr="004734C3" w:rsidRDefault="003F113B" w:rsidP="003F113B">
      <w:pPr>
        <w:ind w:firstLine="720"/>
        <w:jc w:val="both"/>
        <w:rPr>
          <w:sz w:val="28"/>
          <w:szCs w:val="28"/>
        </w:rPr>
      </w:pPr>
      <w:r w:rsidRPr="004734C3">
        <w:rPr>
          <w:sz w:val="28"/>
          <w:szCs w:val="28"/>
        </w:rPr>
        <w:t>Імпорт послуг із країн Європейського Союзу становив 0,4 млн.дол.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США,  або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 xml:space="preserve">57,1% загального обсягу (у січні–березні  2014р., відповідно, 1,9 млн.дол., або 71,2%). </w:t>
      </w:r>
    </w:p>
    <w:p w:rsidR="003F113B" w:rsidRPr="004734C3" w:rsidRDefault="003F113B" w:rsidP="003F113B">
      <w:pPr>
        <w:jc w:val="both"/>
        <w:rPr>
          <w:sz w:val="28"/>
          <w:szCs w:val="28"/>
        </w:rPr>
      </w:pPr>
      <w:r w:rsidRPr="004734C3">
        <w:rPr>
          <w:color w:val="FF0000"/>
          <w:sz w:val="28"/>
          <w:szCs w:val="28"/>
        </w:rPr>
        <w:tab/>
      </w:r>
      <w:r w:rsidRPr="004734C3">
        <w:rPr>
          <w:sz w:val="28"/>
          <w:szCs w:val="28"/>
        </w:rPr>
        <w:t>Найбільші обсяги імпорту серед країн</w:t>
      </w:r>
      <w:r w:rsidRPr="00B62AF2">
        <w:rPr>
          <w:sz w:val="28"/>
          <w:szCs w:val="28"/>
        </w:rPr>
        <w:t>-</w:t>
      </w:r>
      <w:r w:rsidRPr="004734C3">
        <w:rPr>
          <w:sz w:val="28"/>
          <w:szCs w:val="28"/>
        </w:rPr>
        <w:t>членів ЄС були одержані  від Німеччини, Великої Британії, Польщі та Австрії; серед інших країн світу – з</w:t>
      </w:r>
      <w:r w:rsidRPr="004734C3">
        <w:rPr>
          <w:color w:val="FF0000"/>
          <w:sz w:val="28"/>
          <w:szCs w:val="28"/>
        </w:rPr>
        <w:t xml:space="preserve"> </w:t>
      </w:r>
      <w:r w:rsidRPr="004734C3">
        <w:rPr>
          <w:sz w:val="28"/>
          <w:szCs w:val="28"/>
        </w:rPr>
        <w:t>Російської Федерації, Білорусі, Південної Африки та Туреччини.</w:t>
      </w:r>
    </w:p>
    <w:p w:rsidR="003F113B" w:rsidRPr="000F4921" w:rsidRDefault="003F113B" w:rsidP="003F113B">
      <w:pPr>
        <w:ind w:firstLine="540"/>
        <w:jc w:val="both"/>
        <w:rPr>
          <w:kern w:val="144"/>
          <w:sz w:val="28"/>
          <w:szCs w:val="28"/>
          <w:u w:val="single"/>
        </w:rPr>
      </w:pPr>
      <w:r w:rsidRPr="000C1599">
        <w:rPr>
          <w:b/>
          <w:color w:val="FF0000"/>
          <w:sz w:val="28"/>
          <w:szCs w:val="28"/>
        </w:rPr>
        <w:tab/>
      </w:r>
      <w:r w:rsidRPr="000F4921">
        <w:rPr>
          <w:b/>
          <w:kern w:val="144"/>
          <w:sz w:val="28"/>
          <w:szCs w:val="28"/>
        </w:rPr>
        <w:t>Обсяг прямих іноземних інвестицій (акціонерного капіталу),</w:t>
      </w:r>
      <w:r w:rsidRPr="000F4921">
        <w:rPr>
          <w:kern w:val="144"/>
          <w:sz w:val="28"/>
          <w:szCs w:val="28"/>
        </w:rPr>
        <w:t xml:space="preserve">  унесених в економіку Чернігівської області з початку інвестування,           на </w:t>
      </w:r>
      <w:r w:rsidRPr="000F4921">
        <w:rPr>
          <w:sz w:val="28"/>
          <w:szCs w:val="28"/>
        </w:rPr>
        <w:t xml:space="preserve">1 квітня </w:t>
      </w:r>
      <w:r w:rsidRPr="000F4921">
        <w:rPr>
          <w:kern w:val="144"/>
          <w:sz w:val="28"/>
          <w:szCs w:val="28"/>
        </w:rPr>
        <w:t xml:space="preserve">2015р. становив 90 млн.дол. США, та в розрахунку на одну особу населення склав 85,5 дол. США. </w:t>
      </w:r>
    </w:p>
    <w:p w:rsidR="003F113B" w:rsidRPr="000F4921" w:rsidRDefault="003F113B" w:rsidP="003F113B">
      <w:pPr>
        <w:ind w:firstLine="720"/>
        <w:jc w:val="both"/>
        <w:rPr>
          <w:kern w:val="144"/>
          <w:sz w:val="28"/>
          <w:szCs w:val="28"/>
        </w:rPr>
      </w:pPr>
      <w:r w:rsidRPr="000F4921">
        <w:rPr>
          <w:kern w:val="144"/>
          <w:sz w:val="28"/>
          <w:szCs w:val="28"/>
        </w:rPr>
        <w:t>У січні–березні 2015р. в економіку області іноземними інвесторами вкладено 1,1  млн.дол. США прямих інвестицій (акціонерного капіталу). Зменшення капіталу за цей період становить 10,</w:t>
      </w:r>
      <w:r w:rsidRPr="000F4921">
        <w:rPr>
          <w:kern w:val="144"/>
          <w:sz w:val="28"/>
          <w:szCs w:val="28"/>
          <w:lang w:val="ru-RU"/>
        </w:rPr>
        <w:t>9</w:t>
      </w:r>
      <w:r w:rsidRPr="000F4921">
        <w:rPr>
          <w:kern w:val="144"/>
          <w:sz w:val="28"/>
          <w:szCs w:val="28"/>
        </w:rPr>
        <w:t xml:space="preserve"> млн.дол., у т</w:t>
      </w:r>
      <w:r>
        <w:rPr>
          <w:kern w:val="144"/>
          <w:sz w:val="28"/>
          <w:szCs w:val="28"/>
        </w:rPr>
        <w:t>.</w:t>
      </w:r>
      <w:r w:rsidRPr="000F4921">
        <w:rPr>
          <w:kern w:val="144"/>
          <w:sz w:val="28"/>
          <w:szCs w:val="28"/>
        </w:rPr>
        <w:t>ч</w:t>
      </w:r>
      <w:r>
        <w:rPr>
          <w:kern w:val="144"/>
          <w:sz w:val="28"/>
          <w:szCs w:val="28"/>
        </w:rPr>
        <w:t>.</w:t>
      </w:r>
      <w:r w:rsidRPr="000F4921">
        <w:rPr>
          <w:kern w:val="144"/>
          <w:sz w:val="28"/>
          <w:szCs w:val="28"/>
        </w:rPr>
        <w:t xml:space="preserve"> за рахунок курсової різниці – 9,6 млн.дол.США.  </w:t>
      </w:r>
    </w:p>
    <w:p w:rsidR="003F113B" w:rsidRPr="000F4921" w:rsidRDefault="003F113B" w:rsidP="003F113B">
      <w:pPr>
        <w:ind w:firstLine="540"/>
        <w:jc w:val="both"/>
        <w:rPr>
          <w:kern w:val="144"/>
          <w:sz w:val="28"/>
          <w:szCs w:val="28"/>
        </w:rPr>
      </w:pPr>
      <w:r w:rsidRPr="000F4921">
        <w:rPr>
          <w:kern w:val="144"/>
          <w:sz w:val="28"/>
          <w:szCs w:val="28"/>
        </w:rPr>
        <w:t xml:space="preserve">Інвестиції надійшли із 42 країн світу. З країн ЄС з початку інвестування внесено 74,6 млн.дол. (82,9% загального обсягу акціонерного капіталу), з інших країн світу – 15,4 млн.дол. (17,1%). </w:t>
      </w:r>
    </w:p>
    <w:p w:rsidR="003F113B" w:rsidRPr="000F4921" w:rsidRDefault="003F113B" w:rsidP="003F113B">
      <w:pPr>
        <w:ind w:firstLine="540"/>
        <w:jc w:val="both"/>
        <w:rPr>
          <w:kern w:val="144"/>
          <w:sz w:val="28"/>
          <w:szCs w:val="28"/>
          <w:u w:val="single"/>
        </w:rPr>
      </w:pPr>
      <w:r w:rsidRPr="000F4921">
        <w:rPr>
          <w:kern w:val="144"/>
          <w:sz w:val="28"/>
          <w:szCs w:val="28"/>
        </w:rPr>
        <w:t xml:space="preserve">До основних країн-інвесторів,  на  які припадає 81,8% загального обсягу прямих інвестицій, входять: Німеччина, Польща, Кіпр, Вірґінські Острови (Брит.), Туреччина,  Італія, Беліз.  </w:t>
      </w:r>
    </w:p>
    <w:p w:rsidR="003F113B" w:rsidRPr="000F4921" w:rsidRDefault="003F113B" w:rsidP="003F113B">
      <w:pPr>
        <w:pStyle w:val="a6"/>
        <w:numPr>
          <w:ilvl w:val="12"/>
          <w:numId w:val="0"/>
        </w:numPr>
        <w:spacing w:line="240" w:lineRule="auto"/>
        <w:ind w:firstLine="720"/>
        <w:rPr>
          <w:kern w:val="144"/>
          <w:szCs w:val="28"/>
        </w:rPr>
      </w:pPr>
      <w:r w:rsidRPr="000F4921">
        <w:rPr>
          <w:kern w:val="144"/>
          <w:szCs w:val="28"/>
        </w:rPr>
        <w:t>На промислових підприємствах області зосереджено 77,6% загального обсягу прямих інвестицій, н</w:t>
      </w:r>
      <w:r w:rsidRPr="000F4921">
        <w:rPr>
          <w:szCs w:val="28"/>
        </w:rPr>
        <w:t xml:space="preserve">а підприємствах сільського, лісового та рибного господарства  – </w:t>
      </w:r>
      <w:r w:rsidRPr="000F4921">
        <w:rPr>
          <w:kern w:val="144"/>
          <w:szCs w:val="28"/>
        </w:rPr>
        <w:t>8,6%, у сфері адміністративного та допоміжного обслуговування –</w:t>
      </w:r>
      <w:r w:rsidRPr="000F4921">
        <w:rPr>
          <w:szCs w:val="28"/>
        </w:rPr>
        <w:t xml:space="preserve"> </w:t>
      </w:r>
      <w:r w:rsidRPr="000F4921">
        <w:rPr>
          <w:kern w:val="144"/>
          <w:szCs w:val="28"/>
        </w:rPr>
        <w:t>5,5%, на підприємствах транспорту</w:t>
      </w:r>
      <w:r w:rsidRPr="000F4921">
        <w:rPr>
          <w:szCs w:val="28"/>
        </w:rPr>
        <w:t xml:space="preserve">, складського господарства, поштової та кур’єрської діяльності </w:t>
      </w:r>
      <w:r w:rsidRPr="000F4921">
        <w:rPr>
          <w:kern w:val="144"/>
          <w:szCs w:val="28"/>
        </w:rPr>
        <w:t xml:space="preserve">– 3,1%. </w:t>
      </w: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both"/>
        <w:rPr>
          <w:b/>
          <w:sz w:val="28"/>
        </w:rPr>
      </w:pPr>
    </w:p>
    <w:p w:rsidR="003F113B" w:rsidRDefault="003F113B" w:rsidP="003F113B">
      <w:pPr>
        <w:jc w:val="center"/>
        <w:rPr>
          <w:b/>
          <w:sz w:val="28"/>
        </w:rPr>
      </w:pPr>
      <w:r w:rsidRPr="00D0305D">
        <w:rPr>
          <w:b/>
          <w:sz w:val="28"/>
        </w:rPr>
        <w:lastRenderedPageBreak/>
        <w:t>ВНУТРІШНЯ ТОРГІВЛЯ</w:t>
      </w:r>
    </w:p>
    <w:p w:rsidR="003F113B" w:rsidRDefault="003F113B" w:rsidP="003F113B">
      <w:pPr>
        <w:jc w:val="center"/>
        <w:rPr>
          <w:b/>
          <w:sz w:val="28"/>
        </w:rPr>
      </w:pPr>
    </w:p>
    <w:p w:rsidR="003F113B" w:rsidRDefault="003F113B" w:rsidP="003F113B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4E0C63">
        <w:rPr>
          <w:sz w:val="28"/>
        </w:rPr>
        <w:t xml:space="preserve"> </w:t>
      </w:r>
      <w:r>
        <w:rPr>
          <w:sz w:val="28"/>
        </w:rPr>
        <w:t>січень</w:t>
      </w:r>
      <w:r w:rsidRPr="004E0C63">
        <w:rPr>
          <w:sz w:val="28"/>
        </w:rPr>
        <w:t>–</w:t>
      </w:r>
      <w:r>
        <w:rPr>
          <w:sz w:val="28"/>
        </w:rPr>
        <w:t>квітень 201</w:t>
      </w:r>
      <w:r w:rsidRPr="004E0C63">
        <w:rPr>
          <w:sz w:val="28"/>
        </w:rPr>
        <w:t>5</w:t>
      </w:r>
      <w:r>
        <w:rPr>
          <w:sz w:val="28"/>
        </w:rPr>
        <w:t>р. становив 6484,9</w:t>
      </w:r>
      <w:r w:rsidRPr="00E74AF3">
        <w:rPr>
          <w:sz w:val="28"/>
        </w:rPr>
        <w:t> млн.грн</w:t>
      </w:r>
      <w:r>
        <w:rPr>
          <w:sz w:val="28"/>
        </w:rPr>
        <w:t xml:space="preserve">., що склало 84,2% обсягу січня–квітня 2014р. </w:t>
      </w:r>
    </w:p>
    <w:p w:rsidR="003F113B" w:rsidRDefault="003F113B" w:rsidP="003F113B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січень–квітень 2015р</w:t>
      </w:r>
      <w:r w:rsidRPr="00BF7584">
        <w:rPr>
          <w:sz w:val="28"/>
        </w:rPr>
        <w:t>.</w:t>
      </w:r>
      <w:r>
        <w:rPr>
          <w:sz w:val="28"/>
        </w:rPr>
        <w:t xml:space="preserve"> становив 2676,5 млн.грн., що в порівнянних цінах на 18,5% менше обсягу січня–квітня 2014р</w:t>
      </w:r>
      <w:r w:rsidRPr="00366893">
        <w:rPr>
          <w:sz w:val="28"/>
        </w:rPr>
        <w:t>.</w:t>
      </w:r>
    </w:p>
    <w:p w:rsidR="003F113B" w:rsidRPr="008644A2" w:rsidRDefault="003F113B" w:rsidP="003F113B">
      <w:pPr>
        <w:jc w:val="center"/>
        <w:rPr>
          <w:b/>
          <w:sz w:val="20"/>
          <w:szCs w:val="20"/>
        </w:rPr>
      </w:pPr>
    </w:p>
    <w:p w:rsidR="003F113B" w:rsidRDefault="003F113B" w:rsidP="003F113B">
      <w:pPr>
        <w:jc w:val="center"/>
        <w:rPr>
          <w:b/>
          <w:sz w:val="28"/>
          <w:szCs w:val="20"/>
        </w:rPr>
      </w:pPr>
      <w:r w:rsidRPr="00DA3DE4">
        <w:rPr>
          <w:b/>
          <w:sz w:val="28"/>
          <w:szCs w:val="20"/>
        </w:rPr>
        <w:t>ЦІНИ І ТАРИФИ</w:t>
      </w:r>
    </w:p>
    <w:p w:rsidR="003F113B" w:rsidRPr="008644A2" w:rsidRDefault="003F113B" w:rsidP="003F113B">
      <w:pPr>
        <w:jc w:val="center"/>
        <w:rPr>
          <w:b/>
          <w:sz w:val="20"/>
          <w:szCs w:val="20"/>
        </w:rPr>
      </w:pPr>
    </w:p>
    <w:p w:rsidR="003F113B" w:rsidRPr="00EA1344" w:rsidRDefault="003F113B" w:rsidP="003F113B">
      <w:pPr>
        <w:ind w:firstLine="714"/>
        <w:jc w:val="both"/>
        <w:rPr>
          <w:sz w:val="28"/>
          <w:szCs w:val="28"/>
          <w:lang w:val="ru-RU"/>
        </w:rPr>
      </w:pPr>
      <w:r w:rsidRPr="0084408F"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</w:t>
      </w:r>
      <w:r w:rsidRPr="003F1A69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січні–квітні </w:t>
      </w:r>
      <w:r w:rsidRPr="009A48C4">
        <w:rPr>
          <w:sz w:val="28"/>
          <w:szCs w:val="28"/>
        </w:rPr>
        <w:t>20</w:t>
      </w:r>
      <w:r w:rsidRPr="009312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A48C4">
        <w:rPr>
          <w:sz w:val="28"/>
          <w:szCs w:val="28"/>
        </w:rPr>
        <w:t>р.</w:t>
      </w:r>
      <w:r>
        <w:rPr>
          <w:sz w:val="28"/>
          <w:szCs w:val="28"/>
        </w:rPr>
        <w:t xml:space="preserve">            в області становив</w:t>
      </w:r>
      <w:r w:rsidRPr="009A48C4">
        <w:rPr>
          <w:sz w:val="28"/>
          <w:szCs w:val="28"/>
        </w:rPr>
        <w:t xml:space="preserve"> </w:t>
      </w:r>
      <w:r w:rsidRPr="00D567C0">
        <w:rPr>
          <w:sz w:val="28"/>
          <w:szCs w:val="28"/>
        </w:rPr>
        <w:t>141,9%, в Україні – 137,1%.</w:t>
      </w:r>
    </w:p>
    <w:p w:rsidR="003F113B" w:rsidRPr="00D65337" w:rsidRDefault="003F113B" w:rsidP="003F113B">
      <w:pPr>
        <w:ind w:firstLine="700"/>
        <w:jc w:val="both"/>
        <w:rPr>
          <w:sz w:val="28"/>
          <w:szCs w:val="28"/>
          <w:lang w:val="ru-RU"/>
        </w:rPr>
      </w:pPr>
      <w:r w:rsidRPr="00DA7DB7">
        <w:rPr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251657216" stroked="f">
            <v:textbox style="mso-next-textbox:#_x0000_s1026">
              <w:txbxContent>
                <w:p w:rsidR="003F113B" w:rsidRPr="0040436D" w:rsidRDefault="003F113B" w:rsidP="003F113B"/>
              </w:txbxContent>
            </v:textbox>
            <w10:wrap type="square"/>
          </v:shape>
        </w:pict>
      </w:r>
      <w:r>
        <w:rPr>
          <w:sz w:val="28"/>
          <w:szCs w:val="28"/>
          <w:lang w:val="ru-RU"/>
        </w:rPr>
        <w:t xml:space="preserve">Найбільше </w:t>
      </w:r>
      <w:r>
        <w:rPr>
          <w:sz w:val="28"/>
          <w:szCs w:val="28"/>
        </w:rPr>
        <w:t xml:space="preserve">зросли ціни (тарифи) </w:t>
      </w:r>
      <w:r>
        <w:rPr>
          <w:sz w:val="28"/>
          <w:szCs w:val="28"/>
          <w:lang w:val="ru-RU"/>
        </w:rPr>
        <w:t xml:space="preserve">для населення </w:t>
      </w:r>
      <w:r w:rsidRPr="0088270E">
        <w:rPr>
          <w:sz w:val="28"/>
          <w:szCs w:val="28"/>
        </w:rPr>
        <w:t>на природний газ</w:t>
      </w:r>
      <w:r w:rsidRPr="00D653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(у 5,5 раза)</w:t>
      </w:r>
      <w:r w:rsidRPr="00D653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та </w:t>
      </w:r>
      <w:r w:rsidRPr="0088270E">
        <w:rPr>
          <w:sz w:val="28"/>
          <w:szCs w:val="28"/>
        </w:rPr>
        <w:t>електроенергію</w:t>
      </w:r>
      <w:r>
        <w:rPr>
          <w:sz w:val="28"/>
          <w:szCs w:val="28"/>
        </w:rPr>
        <w:t xml:space="preserve"> (на 33,5%). П</w:t>
      </w:r>
      <w:r w:rsidRPr="000C1FC2">
        <w:rPr>
          <w:sz w:val="28"/>
          <w:szCs w:val="28"/>
          <w:lang w:val="ru-RU"/>
        </w:rPr>
        <w:t xml:space="preserve">родукти харчування та безалкогольні напої </w:t>
      </w:r>
      <w:r>
        <w:rPr>
          <w:sz w:val="28"/>
          <w:szCs w:val="28"/>
          <w:lang w:val="ru-RU"/>
        </w:rPr>
        <w:t>стали дорожчими</w:t>
      </w:r>
      <w:r w:rsidRPr="000C1FC2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35</w:t>
      </w:r>
      <w:r w:rsidRPr="000C1FC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>8</w:t>
      </w:r>
      <w:r w:rsidRPr="000C1FC2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>, п</w:t>
      </w:r>
      <w:r>
        <w:rPr>
          <w:sz w:val="28"/>
          <w:szCs w:val="28"/>
        </w:rPr>
        <w:t>редмети домашнього вжитку та побутова техніка</w:t>
      </w:r>
      <w:r>
        <w:rPr>
          <w:sz w:val="28"/>
          <w:szCs w:val="28"/>
          <w:lang w:val="ru-RU"/>
        </w:rPr>
        <w:t xml:space="preserve"> – на </w:t>
      </w:r>
      <w:r>
        <w:rPr>
          <w:sz w:val="28"/>
          <w:szCs w:val="28"/>
        </w:rPr>
        <w:t>32,8%</w:t>
      </w:r>
      <w:r>
        <w:rPr>
          <w:sz w:val="28"/>
          <w:szCs w:val="28"/>
          <w:lang w:val="ru-RU"/>
        </w:rPr>
        <w:t>, відпочинок і культура – на 30,7</w:t>
      </w:r>
      <w:r w:rsidRPr="00444F35">
        <w:rPr>
          <w:sz w:val="28"/>
          <w:szCs w:val="28"/>
          <w:lang w:val="ru-RU"/>
        </w:rPr>
        <w:t>%</w:t>
      </w:r>
      <w:r>
        <w:rPr>
          <w:sz w:val="28"/>
          <w:szCs w:val="28"/>
          <w:lang w:val="ru-RU"/>
        </w:rPr>
        <w:t xml:space="preserve">, </w:t>
      </w:r>
      <w:r w:rsidRPr="00DA7DB7">
        <w:rPr>
          <w:sz w:val="28"/>
          <w:szCs w:val="28"/>
        </w:rPr>
        <w:t>утримання та ремонт</w:t>
      </w:r>
      <w:r>
        <w:rPr>
          <w:sz w:val="28"/>
          <w:szCs w:val="28"/>
        </w:rPr>
        <w:t xml:space="preserve"> житла – на 28,4%, </w:t>
      </w:r>
      <w:r w:rsidRPr="00976EB4">
        <w:rPr>
          <w:sz w:val="28"/>
          <w:szCs w:val="28"/>
          <w:lang w:val="ru-RU"/>
        </w:rPr>
        <w:t>охорон</w:t>
      </w:r>
      <w:r>
        <w:rPr>
          <w:sz w:val="28"/>
          <w:szCs w:val="28"/>
          <w:lang w:val="ru-RU"/>
        </w:rPr>
        <w:t>а</w:t>
      </w:r>
      <w:r w:rsidRPr="00976EB4">
        <w:rPr>
          <w:sz w:val="28"/>
          <w:szCs w:val="28"/>
          <w:lang w:val="ru-RU"/>
        </w:rPr>
        <w:t xml:space="preserve"> здоров</w:t>
      </w:r>
      <w:r w:rsidRPr="003935BD">
        <w:rPr>
          <w:sz w:val="28"/>
          <w:szCs w:val="28"/>
        </w:rPr>
        <w:t>’</w:t>
      </w:r>
      <w:r w:rsidRPr="00976EB4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– на 26,1%, особистий догляд – на 24,1%, одяг і взуття – на 22,8%, транспорт –            на</w:t>
      </w:r>
      <w:r w:rsidRPr="00136E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19,6%.</w:t>
      </w:r>
      <w:r>
        <w:rPr>
          <w:sz w:val="28"/>
          <w:szCs w:val="28"/>
        </w:rPr>
        <w:t xml:space="preserve"> </w:t>
      </w:r>
    </w:p>
    <w:p w:rsidR="003F113B" w:rsidRPr="008644A2" w:rsidRDefault="003F113B" w:rsidP="003F113B">
      <w:pPr>
        <w:jc w:val="center"/>
        <w:rPr>
          <w:b/>
          <w:sz w:val="20"/>
          <w:szCs w:val="20"/>
        </w:rPr>
      </w:pPr>
    </w:p>
    <w:p w:rsidR="003F113B" w:rsidRPr="00DA3DE4" w:rsidRDefault="003F113B" w:rsidP="003F113B">
      <w:pPr>
        <w:ind w:firstLine="720"/>
        <w:jc w:val="both"/>
        <w:rPr>
          <w:sz w:val="4"/>
          <w:szCs w:val="4"/>
        </w:rPr>
      </w:pPr>
    </w:p>
    <w:p w:rsidR="003F113B" w:rsidRDefault="003F113B" w:rsidP="003F113B">
      <w:pPr>
        <w:pStyle w:val="af6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3F113B" w:rsidRDefault="003F113B" w:rsidP="003F113B">
      <w:pPr>
        <w:pStyle w:val="af6"/>
        <w:rPr>
          <w:sz w:val="28"/>
          <w:szCs w:val="28"/>
          <w:u w:val="none"/>
        </w:rPr>
      </w:pPr>
    </w:p>
    <w:p w:rsidR="003F113B" w:rsidRPr="00260527" w:rsidRDefault="003F113B" w:rsidP="003F113B">
      <w:pPr>
        <w:ind w:firstLine="708"/>
        <w:jc w:val="both"/>
        <w:rPr>
          <w:sz w:val="28"/>
          <w:szCs w:val="28"/>
        </w:rPr>
      </w:pPr>
      <w:r w:rsidRPr="00260527">
        <w:rPr>
          <w:sz w:val="28"/>
          <w:szCs w:val="28"/>
        </w:rPr>
        <w:t>У січні</w:t>
      </w:r>
      <w:r w:rsidRPr="004E0C63">
        <w:rPr>
          <w:sz w:val="28"/>
          <w:szCs w:val="28"/>
        </w:rPr>
        <w:t>–</w:t>
      </w:r>
      <w:r>
        <w:rPr>
          <w:sz w:val="28"/>
          <w:szCs w:val="28"/>
        </w:rPr>
        <w:t>березні</w:t>
      </w:r>
      <w:r w:rsidRPr="00260527">
        <w:rPr>
          <w:sz w:val="28"/>
          <w:szCs w:val="28"/>
        </w:rPr>
        <w:t xml:space="preserve"> 2015р. </w:t>
      </w:r>
      <w:r w:rsidRPr="00722E76">
        <w:rPr>
          <w:b/>
          <w:sz w:val="28"/>
          <w:szCs w:val="28"/>
        </w:rPr>
        <w:t>середня номінальна заробітна плата</w:t>
      </w:r>
      <w:r w:rsidRPr="00260527">
        <w:rPr>
          <w:sz w:val="28"/>
          <w:szCs w:val="28"/>
        </w:rPr>
        <w:t xml:space="preserve"> штатних працівників підприємств, установ та організацій (з кількістю працюючих 10 осіб і більше) порівняно із січнем</w:t>
      </w:r>
      <w:r>
        <w:rPr>
          <w:sz w:val="28"/>
          <w:szCs w:val="28"/>
        </w:rPr>
        <w:t>–березнем</w:t>
      </w:r>
      <w:r w:rsidRPr="00260527">
        <w:rPr>
          <w:sz w:val="28"/>
          <w:szCs w:val="28"/>
        </w:rPr>
        <w:t xml:space="preserve"> 2014р. зросла на </w:t>
      </w:r>
      <w:r>
        <w:rPr>
          <w:sz w:val="28"/>
          <w:szCs w:val="28"/>
        </w:rPr>
        <w:t>13,7</w:t>
      </w:r>
      <w:r w:rsidRPr="00260527">
        <w:rPr>
          <w:sz w:val="28"/>
          <w:szCs w:val="28"/>
        </w:rPr>
        <w:t xml:space="preserve">% й становила </w:t>
      </w:r>
      <w:r>
        <w:rPr>
          <w:sz w:val="28"/>
          <w:szCs w:val="28"/>
        </w:rPr>
        <w:t>2837</w:t>
      </w:r>
      <w:r w:rsidRPr="00260527">
        <w:rPr>
          <w:sz w:val="28"/>
          <w:szCs w:val="28"/>
        </w:rPr>
        <w:t xml:space="preserve"> </w:t>
      </w:r>
      <w:r w:rsidRPr="00260527">
        <w:rPr>
          <w:sz w:val="2"/>
          <w:szCs w:val="2"/>
        </w:rPr>
        <w:t xml:space="preserve">  </w:t>
      </w:r>
      <w:r w:rsidRPr="00260527">
        <w:rPr>
          <w:sz w:val="28"/>
          <w:szCs w:val="28"/>
        </w:rPr>
        <w:t xml:space="preserve">грн. </w:t>
      </w:r>
    </w:p>
    <w:p w:rsidR="003F113B" w:rsidRPr="00260527" w:rsidRDefault="003F113B" w:rsidP="003F113B">
      <w:pPr>
        <w:jc w:val="both"/>
        <w:rPr>
          <w:sz w:val="28"/>
          <w:szCs w:val="28"/>
        </w:rPr>
      </w:pPr>
      <w:r w:rsidRPr="00260527">
        <w:rPr>
          <w:sz w:val="28"/>
          <w:szCs w:val="28"/>
        </w:rPr>
        <w:tab/>
        <w:t>Серед більш  оплачуваних</w:t>
      </w:r>
      <w:r w:rsidRPr="00141D19">
        <w:rPr>
          <w:sz w:val="28"/>
          <w:szCs w:val="28"/>
        </w:rPr>
        <w:t xml:space="preserve"> </w:t>
      </w:r>
      <w:r w:rsidRPr="00260527">
        <w:rPr>
          <w:sz w:val="28"/>
          <w:szCs w:val="28"/>
        </w:rPr>
        <w:t xml:space="preserve">були працівники, зайняті </w:t>
      </w:r>
      <w:r>
        <w:rPr>
          <w:sz w:val="28"/>
          <w:szCs w:val="28"/>
        </w:rPr>
        <w:t xml:space="preserve">у </w:t>
      </w:r>
      <w:r w:rsidRPr="00260527">
        <w:rPr>
          <w:sz w:val="28"/>
          <w:szCs w:val="28"/>
        </w:rPr>
        <w:t xml:space="preserve">виробництві коксу та продуктів нафтоперероблення, </w:t>
      </w:r>
      <w:r>
        <w:rPr>
          <w:sz w:val="28"/>
          <w:szCs w:val="28"/>
        </w:rPr>
        <w:t xml:space="preserve">виробництві харчових продуктів, напоїв і тютюнових виробів, </w:t>
      </w:r>
      <w:r w:rsidRPr="00260527">
        <w:rPr>
          <w:snapToGrid w:val="0"/>
          <w:sz w:val="28"/>
          <w:szCs w:val="28"/>
        </w:rPr>
        <w:t>добувній промисловості й розробленні кар’єрів</w:t>
      </w:r>
      <w:r w:rsidRPr="00260527">
        <w:rPr>
          <w:sz w:val="28"/>
          <w:szCs w:val="28"/>
        </w:rPr>
        <w:t>, де нарахування в 1,</w:t>
      </w:r>
      <w:r>
        <w:rPr>
          <w:sz w:val="28"/>
          <w:szCs w:val="28"/>
        </w:rPr>
        <w:t>7</w:t>
      </w:r>
      <w:r w:rsidRPr="00260527">
        <w:rPr>
          <w:sz w:val="28"/>
          <w:szCs w:val="28"/>
        </w:rPr>
        <w:t>–2,</w:t>
      </w:r>
      <w:r>
        <w:rPr>
          <w:sz w:val="28"/>
          <w:szCs w:val="28"/>
        </w:rPr>
        <w:t>0</w:t>
      </w:r>
      <w:r w:rsidRPr="00260527">
        <w:rPr>
          <w:sz w:val="28"/>
          <w:szCs w:val="28"/>
        </w:rPr>
        <w:t> раз</w:t>
      </w:r>
      <w:r>
        <w:rPr>
          <w:sz w:val="28"/>
          <w:szCs w:val="28"/>
        </w:rPr>
        <w:t>а</w:t>
      </w:r>
      <w:r w:rsidRPr="00260527">
        <w:rPr>
          <w:sz w:val="28"/>
          <w:szCs w:val="28"/>
        </w:rPr>
        <w:t xml:space="preserve"> перевищили середній показник в області. Водночас  абсолютний розмір заробітної плати працівників підприємств із </w:t>
      </w:r>
      <w:r w:rsidRPr="00260527">
        <w:rPr>
          <w:snapToGrid w:val="0"/>
          <w:sz w:val="28"/>
          <w:szCs w:val="28"/>
        </w:rPr>
        <w:t xml:space="preserve">виробництва автотранспортних засобів, причепів і напівпричепів та інших транспортних засобів, </w:t>
      </w:r>
      <w:r w:rsidRPr="00260527">
        <w:rPr>
          <w:sz w:val="28"/>
          <w:szCs w:val="28"/>
        </w:rPr>
        <w:t xml:space="preserve">поштової та кур’єрської діяльності був значно нижчим і не перевищував </w:t>
      </w:r>
      <w:r>
        <w:rPr>
          <w:sz w:val="28"/>
          <w:szCs w:val="28"/>
        </w:rPr>
        <w:t>51,3</w:t>
      </w:r>
      <w:r w:rsidRPr="00260527">
        <w:rPr>
          <w:sz w:val="28"/>
          <w:szCs w:val="28"/>
        </w:rPr>
        <w:t>% середнього показника в області.</w:t>
      </w:r>
    </w:p>
    <w:p w:rsidR="003F113B" w:rsidRPr="00260527" w:rsidRDefault="003F113B" w:rsidP="003F113B">
      <w:pPr>
        <w:tabs>
          <w:tab w:val="left" w:pos="720"/>
        </w:tabs>
        <w:ind w:firstLine="720"/>
        <w:jc w:val="both"/>
      </w:pPr>
      <w:r w:rsidRPr="00722E76">
        <w:rPr>
          <w:b/>
          <w:sz w:val="28"/>
        </w:rPr>
        <w:t>Індекс реальної заробітної плати</w:t>
      </w:r>
      <w:r w:rsidRPr="00260527">
        <w:rPr>
          <w:sz w:val="28"/>
        </w:rPr>
        <w:t xml:space="preserve"> в січні</w:t>
      </w:r>
      <w:r>
        <w:rPr>
          <w:sz w:val="28"/>
        </w:rPr>
        <w:t>–березні</w:t>
      </w:r>
      <w:r w:rsidRPr="00260527">
        <w:rPr>
          <w:sz w:val="28"/>
        </w:rPr>
        <w:t xml:space="preserve"> 2015р. порівняно </w:t>
      </w:r>
      <w:r w:rsidRPr="00260527">
        <w:rPr>
          <w:sz w:val="28"/>
        </w:rPr>
        <w:br/>
        <w:t xml:space="preserve">з </w:t>
      </w:r>
      <w:r>
        <w:rPr>
          <w:sz w:val="28"/>
        </w:rPr>
        <w:t>відповідним періодом</w:t>
      </w:r>
      <w:r w:rsidRPr="00260527">
        <w:rPr>
          <w:sz w:val="28"/>
        </w:rPr>
        <w:t xml:space="preserve"> 2014р. становив </w:t>
      </w:r>
      <w:r>
        <w:rPr>
          <w:sz w:val="28"/>
        </w:rPr>
        <w:t>79</w:t>
      </w:r>
      <w:r w:rsidRPr="00260527">
        <w:rPr>
          <w:sz w:val="28"/>
        </w:rPr>
        <w:t xml:space="preserve">%. </w:t>
      </w:r>
    </w:p>
    <w:p w:rsidR="003F113B" w:rsidRPr="00260527" w:rsidRDefault="003F113B" w:rsidP="003F113B">
      <w:pPr>
        <w:tabs>
          <w:tab w:val="left" w:pos="720"/>
        </w:tabs>
        <w:ind w:firstLine="720"/>
        <w:jc w:val="both"/>
        <w:rPr>
          <w:sz w:val="28"/>
        </w:rPr>
      </w:pPr>
      <w:r w:rsidRPr="00260527">
        <w:rPr>
          <w:sz w:val="28"/>
        </w:rPr>
        <w:t xml:space="preserve">Загальна сума </w:t>
      </w:r>
      <w:r w:rsidRPr="00722E76">
        <w:rPr>
          <w:b/>
          <w:sz w:val="28"/>
        </w:rPr>
        <w:t>заборгованості з виплати заробітної плати</w:t>
      </w:r>
      <w:r w:rsidRPr="00260527">
        <w:rPr>
          <w:sz w:val="28"/>
        </w:rPr>
        <w:t xml:space="preserve"> впродовж  січня</w:t>
      </w:r>
      <w:r>
        <w:rPr>
          <w:sz w:val="28"/>
        </w:rPr>
        <w:t xml:space="preserve">–березня </w:t>
      </w:r>
      <w:r w:rsidRPr="00260527">
        <w:rPr>
          <w:sz w:val="28"/>
        </w:rPr>
        <w:t xml:space="preserve"> 2015р. збільшилася на </w:t>
      </w:r>
      <w:r>
        <w:rPr>
          <w:sz w:val="28"/>
        </w:rPr>
        <w:t>2,1</w:t>
      </w:r>
      <w:r w:rsidRPr="00260527">
        <w:rPr>
          <w:sz w:val="28"/>
        </w:rPr>
        <w:t xml:space="preserve"> млн.грн. (</w:t>
      </w:r>
      <w:r>
        <w:rPr>
          <w:sz w:val="28"/>
        </w:rPr>
        <w:t>на 11,8</w:t>
      </w:r>
      <w:r w:rsidRPr="00260527">
        <w:rPr>
          <w:sz w:val="28"/>
        </w:rPr>
        <w:t xml:space="preserve">%) та на 1 </w:t>
      </w:r>
      <w:r>
        <w:rPr>
          <w:sz w:val="28"/>
        </w:rPr>
        <w:t xml:space="preserve">квітня </w:t>
      </w:r>
      <w:r w:rsidRPr="00260527">
        <w:rPr>
          <w:sz w:val="28"/>
        </w:rPr>
        <w:t xml:space="preserve"> 2015р.</w:t>
      </w:r>
      <w:r>
        <w:rPr>
          <w:sz w:val="28"/>
        </w:rPr>
        <w:t xml:space="preserve"> </w:t>
      </w:r>
      <w:r w:rsidRPr="00260527">
        <w:rPr>
          <w:sz w:val="28"/>
        </w:rPr>
        <w:t xml:space="preserve">становила </w:t>
      </w:r>
      <w:r>
        <w:rPr>
          <w:sz w:val="28"/>
        </w:rPr>
        <w:t>20,3</w:t>
      </w:r>
      <w:r w:rsidRPr="00260527">
        <w:rPr>
          <w:sz w:val="28"/>
        </w:rPr>
        <w:t xml:space="preserve"> млн.грн. Сума боргу складає </w:t>
      </w:r>
      <w:r>
        <w:rPr>
          <w:sz w:val="28"/>
        </w:rPr>
        <w:t>3,</w:t>
      </w:r>
      <w:r w:rsidRPr="00260527">
        <w:rPr>
          <w:sz w:val="28"/>
        </w:rPr>
        <w:t xml:space="preserve">4% від фонду оплати праці, нарахованого за </w:t>
      </w:r>
      <w:r>
        <w:rPr>
          <w:sz w:val="28"/>
        </w:rPr>
        <w:t>березень</w:t>
      </w:r>
      <w:r w:rsidRPr="00260527">
        <w:rPr>
          <w:sz w:val="28"/>
        </w:rPr>
        <w:t xml:space="preserve"> 2015р.</w:t>
      </w:r>
    </w:p>
    <w:p w:rsidR="003F113B" w:rsidRPr="00260527" w:rsidRDefault="003F113B" w:rsidP="003F113B">
      <w:pPr>
        <w:ind w:firstLine="708"/>
        <w:jc w:val="both"/>
        <w:rPr>
          <w:sz w:val="28"/>
          <w:szCs w:val="28"/>
        </w:rPr>
      </w:pPr>
      <w:r w:rsidRPr="00260527">
        <w:rPr>
          <w:sz w:val="28"/>
        </w:rPr>
        <w:lastRenderedPageBreak/>
        <w:t xml:space="preserve">Борги працівникам економічно активних підприємств становили </w:t>
      </w:r>
      <w:r w:rsidRPr="00260527">
        <w:rPr>
          <w:sz w:val="28"/>
        </w:rPr>
        <w:br/>
      </w:r>
      <w:r>
        <w:rPr>
          <w:sz w:val="28"/>
        </w:rPr>
        <w:t>11,2</w:t>
      </w:r>
      <w:r w:rsidRPr="00260527">
        <w:rPr>
          <w:sz w:val="28"/>
        </w:rPr>
        <w:t xml:space="preserve"> млн.грн. Їх розміри збільшилися впродовж січня</w:t>
      </w:r>
      <w:r>
        <w:rPr>
          <w:sz w:val="28"/>
        </w:rPr>
        <w:t>–березня</w:t>
      </w:r>
      <w:r w:rsidRPr="00260527">
        <w:rPr>
          <w:sz w:val="28"/>
        </w:rPr>
        <w:t xml:space="preserve"> 2015р. на </w:t>
      </w:r>
      <w:r>
        <w:rPr>
          <w:sz w:val="28"/>
        </w:rPr>
        <w:br/>
        <w:t>2,5</w:t>
      </w:r>
      <w:r w:rsidRPr="00260527">
        <w:rPr>
          <w:sz w:val="28"/>
        </w:rPr>
        <w:t xml:space="preserve"> млн.грн. (на </w:t>
      </w:r>
      <w:r>
        <w:rPr>
          <w:sz w:val="28"/>
        </w:rPr>
        <w:t>29,7</w:t>
      </w:r>
      <w:r w:rsidRPr="00260527">
        <w:rPr>
          <w:sz w:val="28"/>
        </w:rPr>
        <w:t xml:space="preserve">%). </w:t>
      </w:r>
      <w:r w:rsidRPr="00260527">
        <w:rPr>
          <w:sz w:val="28"/>
          <w:szCs w:val="28"/>
        </w:rPr>
        <w:t xml:space="preserve">Найбільша заборгованість серед економічно активних підприємств спостерігається в промисловості </w:t>
      </w:r>
      <w:r>
        <w:rPr>
          <w:sz w:val="28"/>
          <w:szCs w:val="28"/>
        </w:rPr>
        <w:t>5,1</w:t>
      </w:r>
      <w:r w:rsidRPr="00260527">
        <w:rPr>
          <w:sz w:val="28"/>
          <w:szCs w:val="28"/>
        </w:rPr>
        <w:t xml:space="preserve"> млн.грн. (</w:t>
      </w:r>
      <w:r>
        <w:rPr>
          <w:sz w:val="28"/>
          <w:szCs w:val="28"/>
        </w:rPr>
        <w:t>45,2</w:t>
      </w:r>
      <w:r w:rsidRPr="00260527">
        <w:rPr>
          <w:sz w:val="28"/>
          <w:szCs w:val="28"/>
        </w:rPr>
        <w:t>%</w:t>
      </w:r>
      <w:r>
        <w:rPr>
          <w:sz w:val="28"/>
          <w:szCs w:val="28"/>
          <w:lang w:val="en-US"/>
        </w:rPr>
        <w:t> </w:t>
      </w:r>
      <w:r w:rsidRPr="00260527">
        <w:rPr>
          <w:sz w:val="28"/>
          <w:szCs w:val="28"/>
        </w:rPr>
        <w:t>від загальної суми).</w:t>
      </w:r>
    </w:p>
    <w:p w:rsidR="003F113B" w:rsidRPr="00260527" w:rsidRDefault="003F113B" w:rsidP="003F113B">
      <w:pPr>
        <w:pStyle w:val="20"/>
        <w:ind w:firstLine="708"/>
        <w:rPr>
          <w:szCs w:val="28"/>
        </w:rPr>
      </w:pPr>
      <w:r w:rsidRPr="00260527">
        <w:rPr>
          <w:szCs w:val="28"/>
        </w:rPr>
        <w:t>Кількість працівників, які вчасно не отримали заробітну плату, збільшилася впродовж січня</w:t>
      </w:r>
      <w:r>
        <w:rPr>
          <w:szCs w:val="28"/>
        </w:rPr>
        <w:t>–березня</w:t>
      </w:r>
      <w:r w:rsidRPr="00260527">
        <w:rPr>
          <w:szCs w:val="28"/>
        </w:rPr>
        <w:t xml:space="preserve"> 2015р. </w:t>
      </w:r>
      <w:r>
        <w:rPr>
          <w:szCs w:val="28"/>
        </w:rPr>
        <w:t>в 1,7 раза</w:t>
      </w:r>
      <w:r w:rsidRPr="00260527">
        <w:rPr>
          <w:szCs w:val="28"/>
        </w:rPr>
        <w:t xml:space="preserve"> й на 1 </w:t>
      </w:r>
      <w:r>
        <w:rPr>
          <w:szCs w:val="28"/>
        </w:rPr>
        <w:t>квітня</w:t>
      </w:r>
      <w:r w:rsidRPr="00260527">
        <w:rPr>
          <w:szCs w:val="28"/>
        </w:rPr>
        <w:t xml:space="preserve"> 201</w:t>
      </w:r>
      <w:r>
        <w:rPr>
          <w:szCs w:val="28"/>
        </w:rPr>
        <w:t>5</w:t>
      </w:r>
      <w:r w:rsidRPr="00260527">
        <w:rPr>
          <w:szCs w:val="28"/>
        </w:rPr>
        <w:t>р. становила</w:t>
      </w:r>
      <w:r>
        <w:rPr>
          <w:szCs w:val="28"/>
        </w:rPr>
        <w:t xml:space="preserve"> 3,6</w:t>
      </w:r>
      <w:r w:rsidRPr="00260527">
        <w:rPr>
          <w:szCs w:val="28"/>
        </w:rPr>
        <w:t xml:space="preserve"> тис. осіб (</w:t>
      </w:r>
      <w:r>
        <w:rPr>
          <w:szCs w:val="28"/>
        </w:rPr>
        <w:t>1,8</w:t>
      </w:r>
      <w:r w:rsidRPr="00260527">
        <w:rPr>
          <w:szCs w:val="28"/>
        </w:rPr>
        <w:t>% загальної кількості штатних працівників, зайнятих</w:t>
      </w:r>
      <w:r w:rsidRPr="004E0C63">
        <w:rPr>
          <w:szCs w:val="28"/>
        </w:rPr>
        <w:t xml:space="preserve"> </w:t>
      </w:r>
      <w:r w:rsidRPr="00260527">
        <w:rPr>
          <w:szCs w:val="28"/>
        </w:rPr>
        <w:t xml:space="preserve">в економіці області), з них на підприємствах промисловості – </w:t>
      </w:r>
      <w:r>
        <w:rPr>
          <w:szCs w:val="28"/>
        </w:rPr>
        <w:t>50,8</w:t>
      </w:r>
      <w:r w:rsidRPr="00260527">
        <w:rPr>
          <w:szCs w:val="28"/>
        </w:rPr>
        <w:t>%</w:t>
      </w:r>
      <w:r>
        <w:rPr>
          <w:szCs w:val="28"/>
        </w:rPr>
        <w:t>.</w:t>
      </w:r>
      <w:r w:rsidRPr="00260527">
        <w:rPr>
          <w:szCs w:val="28"/>
        </w:rPr>
        <w:t xml:space="preserve"> </w:t>
      </w:r>
    </w:p>
    <w:p w:rsidR="003F113B" w:rsidRDefault="003F113B" w:rsidP="003F113B">
      <w:pPr>
        <w:pStyle w:val="20"/>
        <w:ind w:firstLine="708"/>
        <w:rPr>
          <w:szCs w:val="28"/>
        </w:rPr>
      </w:pPr>
      <w:r w:rsidRPr="00260527">
        <w:rPr>
          <w:szCs w:val="28"/>
        </w:rPr>
        <w:t xml:space="preserve">Кожному із зазначених працівників не виплачено в середньому </w:t>
      </w:r>
      <w:r w:rsidRPr="00260527">
        <w:rPr>
          <w:szCs w:val="28"/>
        </w:rPr>
        <w:br/>
      </w:r>
      <w:r>
        <w:rPr>
          <w:szCs w:val="28"/>
        </w:rPr>
        <w:t>3131</w:t>
      </w:r>
      <w:r w:rsidRPr="00260527">
        <w:rPr>
          <w:szCs w:val="28"/>
        </w:rPr>
        <w:t xml:space="preserve"> грн., що </w:t>
      </w:r>
      <w:r>
        <w:rPr>
          <w:szCs w:val="28"/>
        </w:rPr>
        <w:t>на 5,3</w:t>
      </w:r>
      <w:r w:rsidRPr="00260527">
        <w:rPr>
          <w:szCs w:val="28"/>
        </w:rPr>
        <w:t xml:space="preserve">% більше середньої заробітної плати, нарахованої </w:t>
      </w:r>
      <w:r w:rsidRPr="00260527">
        <w:rPr>
          <w:szCs w:val="28"/>
        </w:rPr>
        <w:br/>
        <w:t xml:space="preserve">за </w:t>
      </w:r>
      <w:r>
        <w:rPr>
          <w:szCs w:val="28"/>
        </w:rPr>
        <w:t>березень</w:t>
      </w:r>
      <w:r w:rsidRPr="00260527">
        <w:rPr>
          <w:szCs w:val="28"/>
        </w:rPr>
        <w:t xml:space="preserve"> 2015р.</w:t>
      </w:r>
    </w:p>
    <w:p w:rsidR="003F113B" w:rsidRPr="00C963C3" w:rsidRDefault="003F113B" w:rsidP="003F113B">
      <w:pPr>
        <w:ind w:firstLine="708"/>
        <w:jc w:val="both"/>
        <w:rPr>
          <w:b/>
          <w:sz w:val="28"/>
        </w:rPr>
      </w:pP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>
        <w:rPr>
          <w:sz w:val="28"/>
        </w:rPr>
        <w:t>січня</w:t>
      </w:r>
      <w:r w:rsidRPr="002A5C36">
        <w:rPr>
          <w:sz w:val="28"/>
        </w:rPr>
        <w:t>–</w:t>
      </w:r>
      <w:r>
        <w:rPr>
          <w:sz w:val="28"/>
        </w:rPr>
        <w:t xml:space="preserve">березня </w:t>
      </w:r>
      <w:r w:rsidRPr="00C2445A">
        <w:rPr>
          <w:sz w:val="28"/>
        </w:rPr>
        <w:t>20</w:t>
      </w:r>
      <w:r>
        <w:rPr>
          <w:sz w:val="28"/>
        </w:rPr>
        <w:t>15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19,9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>, що становило 92%</w:t>
      </w:r>
      <w:r w:rsidRPr="0075605A">
        <w:rPr>
          <w:sz w:val="28"/>
        </w:rPr>
        <w:t xml:space="preserve"> від </w:t>
      </w:r>
      <w:r>
        <w:rPr>
          <w:sz w:val="28"/>
        </w:rPr>
        <w:t xml:space="preserve">загальної кількості </w:t>
      </w:r>
      <w:r>
        <w:rPr>
          <w:sz w:val="28"/>
          <w:szCs w:val="28"/>
        </w:rPr>
        <w:t>домогосподарств</w:t>
      </w:r>
      <w:r>
        <w:rPr>
          <w:sz w:val="28"/>
        </w:rPr>
        <w:t>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4,9 млн.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 –     4,2 млн.грн., у сільській місцевості – 0,7 млн.грн.). Середній розмір допомоги, призначеної одному </w:t>
      </w:r>
      <w:r>
        <w:rPr>
          <w:sz w:val="28"/>
          <w:szCs w:val="28"/>
        </w:rPr>
        <w:t>домогосподарству</w:t>
      </w:r>
      <w:r>
        <w:rPr>
          <w:sz w:val="28"/>
        </w:rPr>
        <w:t xml:space="preserve"> в березні, становив      178,8</w:t>
      </w:r>
      <w:r w:rsidRPr="00722922">
        <w:rPr>
          <w:sz w:val="28"/>
        </w:rPr>
        <w:t xml:space="preserve"> </w:t>
      </w:r>
      <w:r>
        <w:rPr>
          <w:sz w:val="28"/>
        </w:rPr>
        <w:t xml:space="preserve">грн. Крім того, 5176 </w:t>
      </w:r>
      <w:r>
        <w:rPr>
          <w:sz w:val="28"/>
          <w:szCs w:val="28"/>
        </w:rPr>
        <w:t>домогосподарствам</w:t>
      </w:r>
      <w:r>
        <w:rPr>
          <w:sz w:val="28"/>
        </w:rPr>
        <w:t xml:space="preserve"> (82,1% із числа тих, які звернулися) було призначено </w:t>
      </w:r>
      <w:r w:rsidRPr="00C66710"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 палива</w:t>
      </w:r>
      <w:r w:rsidRPr="00AC5A30">
        <w:rPr>
          <w:sz w:val="28"/>
        </w:rPr>
        <w:t xml:space="preserve"> (у міських</w:t>
      </w:r>
      <w:r>
        <w:rPr>
          <w:sz w:val="28"/>
        </w:rPr>
        <w:t xml:space="preserve"> </w:t>
      </w:r>
      <w:r w:rsidRPr="00AC5A30">
        <w:rPr>
          <w:sz w:val="28"/>
        </w:rPr>
        <w:t xml:space="preserve">поселеннях – </w:t>
      </w:r>
      <w:r>
        <w:rPr>
          <w:sz w:val="28"/>
        </w:rPr>
        <w:t>1159</w:t>
      </w:r>
      <w:r w:rsidRPr="00AC5A30">
        <w:rPr>
          <w:sz w:val="28"/>
        </w:rPr>
        <w:t xml:space="preserve"> </w:t>
      </w:r>
      <w:r>
        <w:rPr>
          <w:sz w:val="28"/>
          <w:szCs w:val="28"/>
        </w:rPr>
        <w:t>домогосподарствам</w:t>
      </w:r>
      <w:r w:rsidRPr="00AC5A30">
        <w:rPr>
          <w:sz w:val="28"/>
        </w:rPr>
        <w:t xml:space="preserve">, </w:t>
      </w:r>
      <w:r w:rsidRPr="00E35D6D">
        <w:rPr>
          <w:sz w:val="28"/>
        </w:rPr>
        <w:t xml:space="preserve">                  </w:t>
      </w:r>
      <w:r w:rsidRPr="00AC5A30">
        <w:rPr>
          <w:sz w:val="28"/>
        </w:rPr>
        <w:t xml:space="preserve">у сільській місцевості – </w:t>
      </w:r>
      <w:r>
        <w:rPr>
          <w:sz w:val="28"/>
        </w:rPr>
        <w:t>4017</w:t>
      </w:r>
      <w:r w:rsidRPr="00AC5A30">
        <w:rPr>
          <w:sz w:val="28"/>
        </w:rPr>
        <w:t xml:space="preserve"> </w:t>
      </w:r>
      <w:r>
        <w:rPr>
          <w:sz w:val="28"/>
          <w:szCs w:val="28"/>
        </w:rPr>
        <w:t>домогосподарствам</w:t>
      </w:r>
      <w:r w:rsidRPr="00AC5A30">
        <w:rPr>
          <w:sz w:val="28"/>
        </w:rPr>
        <w:t>).</w:t>
      </w:r>
      <w:r>
        <w:rPr>
          <w:sz w:val="28"/>
        </w:rPr>
        <w:t xml:space="preserve"> Середній розмір субсидії цього виду, призначеної в березні, становив 1340,3 грн. на одне </w:t>
      </w:r>
      <w:r>
        <w:rPr>
          <w:sz w:val="28"/>
          <w:szCs w:val="28"/>
        </w:rPr>
        <w:t>домогосподарство</w:t>
      </w:r>
      <w:r>
        <w:rPr>
          <w:sz w:val="28"/>
        </w:rPr>
        <w:t>.</w:t>
      </w:r>
    </w:p>
    <w:p w:rsidR="003F113B" w:rsidRPr="003A09B7" w:rsidRDefault="003F113B" w:rsidP="003F113B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січні–березні 2015р.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346,3 млн.грн. (102,8% нарахованих сум).</w:t>
      </w:r>
    </w:p>
    <w:p w:rsidR="003F113B" w:rsidRDefault="003F113B" w:rsidP="003F113B">
      <w:pPr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3F113B" w:rsidRDefault="003F113B" w:rsidP="003F113B">
      <w:pPr>
        <w:tabs>
          <w:tab w:val="left" w:pos="180"/>
        </w:tabs>
        <w:jc w:val="center"/>
        <w:rPr>
          <w:b/>
          <w:sz w:val="28"/>
          <w:szCs w:val="28"/>
        </w:rPr>
      </w:pPr>
      <w:r w:rsidRPr="00D0305D">
        <w:rPr>
          <w:b/>
          <w:sz w:val="28"/>
          <w:szCs w:val="28"/>
        </w:rPr>
        <w:t>РИНОК ПРАЦІ</w:t>
      </w:r>
    </w:p>
    <w:p w:rsidR="003F113B" w:rsidRDefault="003F113B" w:rsidP="003F113B">
      <w:pPr>
        <w:tabs>
          <w:tab w:val="left" w:pos="180"/>
        </w:tabs>
        <w:jc w:val="center"/>
        <w:rPr>
          <w:b/>
          <w:sz w:val="28"/>
          <w:szCs w:val="28"/>
        </w:rPr>
      </w:pPr>
    </w:p>
    <w:p w:rsidR="003F113B" w:rsidRPr="00F330B6" w:rsidRDefault="003F113B" w:rsidP="003F113B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4734C3">
        <w:rPr>
          <w:b/>
          <w:sz w:val="28"/>
          <w:szCs w:val="28"/>
        </w:rPr>
        <w:t>Кількість зареєстрованих безробітних</w:t>
      </w:r>
      <w:r w:rsidRPr="00F330B6">
        <w:rPr>
          <w:sz w:val="28"/>
          <w:szCs w:val="28"/>
        </w:rPr>
        <w:t xml:space="preserve"> на кінець </w:t>
      </w:r>
      <w:r>
        <w:rPr>
          <w:sz w:val="28"/>
          <w:szCs w:val="28"/>
        </w:rPr>
        <w:t>квітня 2015р.</w:t>
      </w:r>
      <w:r w:rsidRPr="00F330B6">
        <w:rPr>
          <w:sz w:val="28"/>
          <w:szCs w:val="28"/>
        </w:rPr>
        <w:t xml:space="preserve"> становила 16,6 тис. осіб. Допомогу</w:t>
      </w:r>
      <w:r>
        <w:rPr>
          <w:sz w:val="28"/>
          <w:szCs w:val="28"/>
        </w:rPr>
        <w:t xml:space="preserve"> </w:t>
      </w:r>
      <w:r w:rsidRPr="00F330B6">
        <w:rPr>
          <w:sz w:val="28"/>
          <w:szCs w:val="28"/>
        </w:rPr>
        <w:t>з безробіття отримували 74,4% осіб, які мали статус безробітного.</w:t>
      </w:r>
    </w:p>
    <w:p w:rsidR="003F113B" w:rsidRPr="008E3189" w:rsidRDefault="003F113B" w:rsidP="003F113B">
      <w:pPr>
        <w:tabs>
          <w:tab w:val="left" w:pos="720"/>
        </w:tabs>
        <w:jc w:val="both"/>
        <w:rPr>
          <w:sz w:val="28"/>
          <w:szCs w:val="28"/>
        </w:rPr>
      </w:pPr>
      <w:r w:rsidRPr="00F4652E">
        <w:rPr>
          <w:color w:val="FF0000"/>
          <w:sz w:val="28"/>
          <w:szCs w:val="28"/>
        </w:rPr>
        <w:tab/>
      </w:r>
      <w:r w:rsidRPr="00F330B6">
        <w:rPr>
          <w:sz w:val="28"/>
          <w:szCs w:val="28"/>
        </w:rPr>
        <w:t>Із загальної кількості безробітних бі</w:t>
      </w:r>
      <w:r>
        <w:rPr>
          <w:sz w:val="28"/>
          <w:szCs w:val="28"/>
        </w:rPr>
        <w:t>льше половини становили жінки.</w:t>
      </w:r>
    </w:p>
    <w:p w:rsidR="003F113B" w:rsidRPr="00075F46" w:rsidRDefault="003F113B" w:rsidP="003F113B">
      <w:pPr>
        <w:ind w:firstLine="742"/>
        <w:jc w:val="both"/>
        <w:rPr>
          <w:sz w:val="28"/>
          <w:szCs w:val="28"/>
        </w:rPr>
      </w:pPr>
      <w:r w:rsidRPr="00136AE6">
        <w:rPr>
          <w:sz w:val="28"/>
          <w:szCs w:val="28"/>
        </w:rPr>
        <w:t>Рівень зареєстрованого безробіття</w:t>
      </w:r>
      <w:r w:rsidRPr="00136AE6">
        <w:rPr>
          <w:b/>
          <w:sz w:val="28"/>
          <w:szCs w:val="28"/>
        </w:rPr>
        <w:t xml:space="preserve"> </w:t>
      </w:r>
      <w:r w:rsidRPr="00136AE6">
        <w:rPr>
          <w:sz w:val="28"/>
          <w:szCs w:val="28"/>
        </w:rPr>
        <w:t xml:space="preserve">в цілому в області порівняно </w:t>
      </w:r>
      <w:r>
        <w:rPr>
          <w:sz w:val="28"/>
          <w:szCs w:val="28"/>
        </w:rPr>
        <w:t xml:space="preserve">          </w:t>
      </w:r>
      <w:r w:rsidRPr="00136AE6">
        <w:rPr>
          <w:sz w:val="28"/>
          <w:szCs w:val="28"/>
        </w:rPr>
        <w:t xml:space="preserve">з березнем 2015р. </w:t>
      </w:r>
      <w:r>
        <w:rPr>
          <w:sz w:val="28"/>
          <w:szCs w:val="28"/>
        </w:rPr>
        <w:t>не змінився</w:t>
      </w:r>
      <w:r w:rsidRPr="00CF21AE">
        <w:rPr>
          <w:sz w:val="28"/>
          <w:szCs w:val="28"/>
        </w:rPr>
        <w:t xml:space="preserve"> </w:t>
      </w:r>
      <w:r w:rsidRPr="00136AE6">
        <w:rPr>
          <w:sz w:val="28"/>
          <w:szCs w:val="28"/>
        </w:rPr>
        <w:t>й на кінець квітня 2015р. становив 2,6% населення працездатного віку.</w:t>
      </w:r>
      <w:r w:rsidRPr="00F4652E">
        <w:rPr>
          <w:color w:val="FF0000"/>
          <w:sz w:val="28"/>
          <w:szCs w:val="28"/>
        </w:rPr>
        <w:t xml:space="preserve"> </w:t>
      </w:r>
      <w:r w:rsidRPr="00075F46">
        <w:rPr>
          <w:sz w:val="28"/>
          <w:szCs w:val="28"/>
        </w:rPr>
        <w:t xml:space="preserve">Цей показник був вищим серед жителів міських поселень (2,7%) порівняно з населенням сільської місцевості (2,5%). </w:t>
      </w:r>
    </w:p>
    <w:p w:rsidR="003F113B" w:rsidRPr="004734C3" w:rsidRDefault="003F113B" w:rsidP="003F113B">
      <w:pPr>
        <w:rPr>
          <w:b/>
          <w:vanish/>
        </w:rPr>
      </w:pPr>
    </w:p>
    <w:p w:rsidR="003F113B" w:rsidRPr="00F4652E" w:rsidRDefault="003F113B" w:rsidP="003F113B">
      <w:pPr>
        <w:tabs>
          <w:tab w:val="left" w:pos="720"/>
        </w:tabs>
        <w:ind w:firstLine="709"/>
        <w:jc w:val="both"/>
        <w:rPr>
          <w:color w:val="FF0000"/>
          <w:sz w:val="28"/>
          <w:szCs w:val="28"/>
        </w:rPr>
      </w:pPr>
      <w:r w:rsidRPr="004734C3">
        <w:rPr>
          <w:b/>
          <w:sz w:val="28"/>
          <w:szCs w:val="28"/>
        </w:rPr>
        <w:t>Кількість вільних робочих місць (вакантних посад),</w:t>
      </w:r>
      <w:r w:rsidRPr="00F85E66">
        <w:rPr>
          <w:sz w:val="28"/>
          <w:szCs w:val="28"/>
        </w:rPr>
        <w:t xml:space="preserve"> заявлених роботодавцями до  державної служби зайнятості, уп</w:t>
      </w:r>
      <w:r>
        <w:rPr>
          <w:sz w:val="28"/>
          <w:szCs w:val="28"/>
        </w:rPr>
        <w:t>родовж квітня</w:t>
      </w:r>
      <w:r w:rsidRPr="00F85E66">
        <w:rPr>
          <w:sz w:val="28"/>
          <w:szCs w:val="28"/>
        </w:rPr>
        <w:t xml:space="preserve"> 2015р. </w:t>
      </w:r>
      <w:r>
        <w:rPr>
          <w:sz w:val="28"/>
          <w:szCs w:val="28"/>
        </w:rPr>
        <w:t>зменшила</w:t>
      </w:r>
      <w:r w:rsidRPr="00F85E66">
        <w:rPr>
          <w:sz w:val="28"/>
          <w:szCs w:val="28"/>
        </w:rPr>
        <w:t>ся на 19% й на кінець місяця становила 1,6 тис.</w:t>
      </w:r>
    </w:p>
    <w:p w:rsidR="003F113B" w:rsidRPr="009B4C2D" w:rsidRDefault="003F113B" w:rsidP="003F113B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B4C2D">
        <w:rPr>
          <w:sz w:val="28"/>
          <w:szCs w:val="28"/>
        </w:rPr>
        <w:lastRenderedPageBreak/>
        <w:t>З</w:t>
      </w:r>
      <w:r>
        <w:rPr>
          <w:sz w:val="28"/>
          <w:szCs w:val="28"/>
        </w:rPr>
        <w:t>а професійними групами наймен</w:t>
      </w:r>
      <w:r w:rsidRPr="009B4C2D">
        <w:rPr>
          <w:sz w:val="28"/>
          <w:szCs w:val="28"/>
        </w:rPr>
        <w:t>ший попит на робочу силу на кінець квітня 2015р. спостерігався на кваліфікованих робітників сільського та лісового господарств, риборозведення та рибальства (</w:t>
      </w:r>
      <w:r>
        <w:rPr>
          <w:sz w:val="28"/>
          <w:szCs w:val="28"/>
        </w:rPr>
        <w:t>2,8</w:t>
      </w:r>
      <w:r w:rsidRPr="009B4C2D">
        <w:rPr>
          <w:sz w:val="28"/>
          <w:szCs w:val="28"/>
        </w:rPr>
        <w:t xml:space="preserve">% від загальної кількості заявлених вакансій), </w:t>
      </w:r>
      <w:r>
        <w:rPr>
          <w:sz w:val="28"/>
          <w:szCs w:val="28"/>
        </w:rPr>
        <w:t xml:space="preserve">а найбільший – на </w:t>
      </w:r>
      <w:r w:rsidRPr="009B4C2D">
        <w:rPr>
          <w:sz w:val="28"/>
          <w:szCs w:val="28"/>
        </w:rPr>
        <w:t>робітників з обслуговування, експлуатації та контролювання за роботою технологічного устаткування, складання устаткування та машин (21,2</w:t>
      </w:r>
      <w:r>
        <w:rPr>
          <w:sz w:val="28"/>
          <w:szCs w:val="28"/>
        </w:rPr>
        <w:t>%</w:t>
      </w:r>
      <w:r w:rsidRPr="009B4C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113B" w:rsidRPr="00AF5F61" w:rsidRDefault="003F113B" w:rsidP="003F113B">
      <w:pPr>
        <w:ind w:firstLine="709"/>
        <w:jc w:val="both"/>
        <w:rPr>
          <w:sz w:val="28"/>
          <w:szCs w:val="28"/>
        </w:rPr>
      </w:pPr>
      <w:r w:rsidRPr="004734C3">
        <w:rPr>
          <w:b/>
          <w:sz w:val="28"/>
          <w:szCs w:val="28"/>
        </w:rPr>
        <w:t>Навантаження зареєстрованих безробітних</w:t>
      </w:r>
      <w:r w:rsidRPr="00AF5F61">
        <w:rPr>
          <w:sz w:val="28"/>
          <w:szCs w:val="28"/>
        </w:rPr>
        <w:t xml:space="preserve"> збільшилося й на кінець квітня</w:t>
      </w:r>
      <w:r w:rsidRPr="00AF5F61">
        <w:rPr>
          <w:sz w:val="28"/>
        </w:rPr>
        <w:t xml:space="preserve"> 2015р. становило 11 </w:t>
      </w:r>
      <w:r w:rsidRPr="00AF5F61">
        <w:rPr>
          <w:sz w:val="28"/>
          <w:szCs w:val="28"/>
        </w:rPr>
        <w:t xml:space="preserve">осіб на одне вільне робоче місце (вакантну посаду). </w:t>
      </w:r>
    </w:p>
    <w:p w:rsidR="003F113B" w:rsidRPr="00F2318F" w:rsidRDefault="003F113B" w:rsidP="003F113B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F2318F">
        <w:rPr>
          <w:sz w:val="28"/>
          <w:szCs w:val="28"/>
        </w:rPr>
        <w:t xml:space="preserve">За сприяння державної служби зайнятості в січні–квітні 2015р. було </w:t>
      </w:r>
      <w:r w:rsidRPr="004734C3">
        <w:rPr>
          <w:b/>
          <w:sz w:val="28"/>
          <w:szCs w:val="28"/>
        </w:rPr>
        <w:t>працевлаштовано</w:t>
      </w:r>
      <w:r w:rsidRPr="00F2318F">
        <w:rPr>
          <w:sz w:val="28"/>
          <w:szCs w:val="28"/>
        </w:rPr>
        <w:t xml:space="preserve"> 5,3 тис. осіб, або 19,7% громадян, які мали статус безробітного в цьому періоді, у т.ч. у квітні 2015р. – 1,6</w:t>
      </w:r>
      <w:r>
        <w:rPr>
          <w:sz w:val="28"/>
          <w:szCs w:val="28"/>
        </w:rPr>
        <w:t xml:space="preserve"> тис.</w:t>
      </w:r>
    </w:p>
    <w:p w:rsidR="003F113B" w:rsidRPr="00252D18" w:rsidRDefault="003F113B" w:rsidP="003F113B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F2318F">
        <w:rPr>
          <w:sz w:val="28"/>
          <w:szCs w:val="28"/>
        </w:rPr>
        <w:t>Серед зареєстрованих без</w:t>
      </w:r>
      <w:r>
        <w:rPr>
          <w:sz w:val="28"/>
          <w:szCs w:val="28"/>
        </w:rPr>
        <w:t>робітних, які отримали роботу</w:t>
      </w:r>
      <w:r>
        <w:rPr>
          <w:sz w:val="28"/>
          <w:szCs w:val="28"/>
        </w:rPr>
        <w:br/>
        <w:t>у</w:t>
      </w:r>
      <w:r w:rsidRPr="00F2318F">
        <w:rPr>
          <w:sz w:val="28"/>
          <w:szCs w:val="28"/>
        </w:rPr>
        <w:t xml:space="preserve"> квітні 2015р., 36,5% становили жінки, 36,1% – молодь у віці до</w:t>
      </w:r>
      <w:r w:rsidRPr="00F2318F">
        <w:rPr>
          <w:sz w:val="28"/>
          <w:szCs w:val="28"/>
        </w:rPr>
        <w:br/>
        <w:t xml:space="preserve">35 </w:t>
      </w:r>
      <w:r w:rsidRPr="00252D18">
        <w:rPr>
          <w:sz w:val="28"/>
          <w:szCs w:val="28"/>
        </w:rPr>
        <w:t xml:space="preserve">років. </w:t>
      </w:r>
    </w:p>
    <w:p w:rsidR="003F113B" w:rsidRDefault="003F113B" w:rsidP="003F113B">
      <w:pPr>
        <w:tabs>
          <w:tab w:val="left" w:pos="1440"/>
        </w:tabs>
        <w:spacing w:line="340" w:lineRule="exact"/>
        <w:ind w:firstLine="720"/>
        <w:jc w:val="both"/>
        <w:rPr>
          <w:sz w:val="28"/>
          <w:szCs w:val="28"/>
        </w:rPr>
      </w:pPr>
      <w:r w:rsidRPr="00F2318F">
        <w:rPr>
          <w:sz w:val="28"/>
          <w:szCs w:val="28"/>
        </w:rPr>
        <w:t xml:space="preserve">Середньооблікова кількість безробітних, які отримували </w:t>
      </w:r>
      <w:r w:rsidRPr="004734C3">
        <w:rPr>
          <w:b/>
          <w:sz w:val="28"/>
          <w:szCs w:val="28"/>
        </w:rPr>
        <w:t>допомогу</w:t>
      </w:r>
      <w:r w:rsidRPr="004734C3">
        <w:rPr>
          <w:b/>
          <w:sz w:val="28"/>
          <w:szCs w:val="28"/>
        </w:rPr>
        <w:br/>
        <w:t>у зв’язку з безробіттям</w:t>
      </w:r>
      <w:r w:rsidRPr="00F2318F">
        <w:rPr>
          <w:sz w:val="28"/>
          <w:szCs w:val="28"/>
        </w:rPr>
        <w:t xml:space="preserve"> упродовж квітня 2015р., становила 13,5 тис. осіб. Середній розмір допомоги з безробіття складав 1160 грн., що дорівнює 95,2% законодавчо визначеного розміру мінімальної заробітної плати (1218 грн.).</w:t>
      </w:r>
    </w:p>
    <w:p w:rsidR="003F113B" w:rsidRPr="00F2318F" w:rsidRDefault="003F113B" w:rsidP="003F113B">
      <w:pPr>
        <w:tabs>
          <w:tab w:val="left" w:pos="1440"/>
        </w:tabs>
        <w:spacing w:line="340" w:lineRule="exact"/>
        <w:ind w:firstLine="720"/>
        <w:jc w:val="both"/>
      </w:pPr>
    </w:p>
    <w:p w:rsidR="003F113B" w:rsidRPr="009B2BAE" w:rsidRDefault="003F113B" w:rsidP="003F113B">
      <w:pPr>
        <w:jc w:val="center"/>
        <w:rPr>
          <w:sz w:val="28"/>
          <w:szCs w:val="20"/>
          <w:lang w:val="ru-RU"/>
        </w:rPr>
      </w:pPr>
      <w:r w:rsidRPr="009B2BAE">
        <w:rPr>
          <w:b/>
          <w:sz w:val="28"/>
          <w:szCs w:val="28"/>
          <w:lang w:val="ru-RU"/>
        </w:rPr>
        <w:t>ДЕМОГРАФІЧНА  СИТУАЦІЯ</w:t>
      </w:r>
    </w:p>
    <w:p w:rsidR="003F113B" w:rsidRDefault="003F113B" w:rsidP="003F113B">
      <w:pPr>
        <w:ind w:firstLine="720"/>
        <w:jc w:val="both"/>
        <w:rPr>
          <w:sz w:val="28"/>
          <w:szCs w:val="28"/>
        </w:rPr>
      </w:pPr>
    </w:p>
    <w:p w:rsidR="003F113B" w:rsidRPr="0077676F" w:rsidRDefault="003F113B" w:rsidP="003F1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Чисельність </w:t>
      </w:r>
      <w:r w:rsidRPr="004734C3">
        <w:rPr>
          <w:b/>
          <w:sz w:val="28"/>
          <w:szCs w:val="28"/>
        </w:rPr>
        <w:t>наявного населення</w:t>
      </w:r>
      <w:r>
        <w:rPr>
          <w:sz w:val="28"/>
          <w:szCs w:val="28"/>
        </w:rPr>
        <w:t xml:space="preserve"> в області, за оцінкою, на 1 </w:t>
      </w:r>
      <w:r w:rsidRPr="001970F4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2015р. становила </w:t>
      </w:r>
      <w:r w:rsidRPr="00B8575A">
        <w:rPr>
          <w:sz w:val="28"/>
          <w:szCs w:val="28"/>
        </w:rPr>
        <w:t>105</w:t>
      </w:r>
      <w:r>
        <w:rPr>
          <w:sz w:val="28"/>
          <w:szCs w:val="28"/>
        </w:rPr>
        <w:t>2</w:t>
      </w:r>
      <w:r w:rsidRPr="00B8575A">
        <w:rPr>
          <w:sz w:val="28"/>
          <w:szCs w:val="28"/>
        </w:rPr>
        <w:t>,</w:t>
      </w:r>
      <w:r>
        <w:rPr>
          <w:sz w:val="28"/>
          <w:szCs w:val="28"/>
        </w:rPr>
        <w:t xml:space="preserve">6 тис. осіб. З початку року кількість жителів Чернігівщини зменшилася на 3058 осіб, або на </w:t>
      </w:r>
      <w:r w:rsidRPr="007C462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C4624">
        <w:rPr>
          <w:sz w:val="28"/>
          <w:szCs w:val="28"/>
        </w:rPr>
        <w:t>,</w:t>
      </w:r>
      <w:r>
        <w:rPr>
          <w:sz w:val="28"/>
          <w:szCs w:val="28"/>
        </w:rPr>
        <w:t>8 особи в розрахунку на 1000 наявного населення.</w:t>
      </w:r>
    </w:p>
    <w:p w:rsidR="003F113B" w:rsidRDefault="003F113B" w:rsidP="003F11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Зменшення чисельності населення відбулося за рахунок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скорочення – 3246</w:t>
      </w:r>
      <w:r w:rsidRPr="00B1082D">
        <w:rPr>
          <w:sz w:val="28"/>
          <w:szCs w:val="28"/>
        </w:rPr>
        <w:t xml:space="preserve"> </w:t>
      </w:r>
      <w:r>
        <w:rPr>
          <w:sz w:val="28"/>
          <w:szCs w:val="28"/>
        </w:rPr>
        <w:t>осіб, міграційний приріст населення склав 188 осіб.</w:t>
      </w:r>
    </w:p>
    <w:p w:rsidR="003F113B" w:rsidRPr="00AD0FA6" w:rsidRDefault="003F113B" w:rsidP="003F113B">
      <w:pPr>
        <w:ind w:firstLine="720"/>
        <w:jc w:val="both"/>
      </w:pPr>
      <w:r w:rsidRPr="00AD0FA6">
        <w:rPr>
          <w:sz w:val="28"/>
        </w:rPr>
        <w:t xml:space="preserve">Порівняно </w:t>
      </w:r>
      <w:r w:rsidRPr="007C628A">
        <w:rPr>
          <w:sz w:val="28"/>
        </w:rPr>
        <w:t xml:space="preserve">із </w:t>
      </w:r>
      <w:r>
        <w:rPr>
          <w:color w:val="000000"/>
          <w:sz w:val="28"/>
          <w:szCs w:val="28"/>
        </w:rPr>
        <w:t>січнем–березнем</w:t>
      </w:r>
      <w:r>
        <w:rPr>
          <w:sz w:val="28"/>
        </w:rPr>
        <w:t xml:space="preserve"> </w:t>
      </w:r>
      <w:r w:rsidRPr="00AD0FA6">
        <w:rPr>
          <w:sz w:val="28"/>
        </w:rPr>
        <w:t>201</w:t>
      </w:r>
      <w:r w:rsidRPr="007C628A">
        <w:rPr>
          <w:sz w:val="28"/>
        </w:rPr>
        <w:t>4</w:t>
      </w:r>
      <w:r w:rsidRPr="00AD0FA6">
        <w:rPr>
          <w:sz w:val="28"/>
        </w:rPr>
        <w:t xml:space="preserve">р. </w:t>
      </w:r>
      <w:r w:rsidRPr="00B62AF2">
        <w:rPr>
          <w:sz w:val="28"/>
        </w:rPr>
        <w:t>народжуваність</w:t>
      </w:r>
      <w:r w:rsidRPr="00AD0FA6">
        <w:rPr>
          <w:sz w:val="28"/>
        </w:rPr>
        <w:t xml:space="preserve"> зменшилася з </w:t>
      </w:r>
      <w:r>
        <w:rPr>
          <w:sz w:val="28"/>
        </w:rPr>
        <w:t>8</w:t>
      </w:r>
      <w:r w:rsidRPr="00450DBE">
        <w:rPr>
          <w:sz w:val="28"/>
        </w:rPr>
        <w:t>,</w:t>
      </w:r>
      <w:r>
        <w:rPr>
          <w:sz w:val="28"/>
        </w:rPr>
        <w:t>7</w:t>
      </w:r>
      <w:r w:rsidRPr="00450DBE">
        <w:rPr>
          <w:sz w:val="28"/>
        </w:rPr>
        <w:t xml:space="preserve"> до </w:t>
      </w:r>
      <w:r>
        <w:rPr>
          <w:sz w:val="28"/>
        </w:rPr>
        <w:t>8</w:t>
      </w:r>
      <w:r w:rsidRPr="00450DBE">
        <w:rPr>
          <w:sz w:val="28"/>
        </w:rPr>
        <w:t>,</w:t>
      </w:r>
      <w:r>
        <w:rPr>
          <w:sz w:val="28"/>
        </w:rPr>
        <w:t xml:space="preserve">5 </w:t>
      </w:r>
      <w:r w:rsidRPr="00AD0FA6">
        <w:rPr>
          <w:sz w:val="28"/>
        </w:rPr>
        <w:t xml:space="preserve">живонароджених у розрахунку на 1000 наявного населення, смертність збільшилася з </w:t>
      </w:r>
      <w:r w:rsidRPr="00335D91">
        <w:rPr>
          <w:sz w:val="28"/>
        </w:rPr>
        <w:t>20</w:t>
      </w:r>
      <w:r w:rsidRPr="0013204A">
        <w:rPr>
          <w:sz w:val="28"/>
        </w:rPr>
        <w:t>,</w:t>
      </w:r>
      <w:r>
        <w:rPr>
          <w:sz w:val="28"/>
        </w:rPr>
        <w:t xml:space="preserve">4 до </w:t>
      </w:r>
      <w:r w:rsidRPr="00335D91">
        <w:rPr>
          <w:sz w:val="28"/>
        </w:rPr>
        <w:t>2</w:t>
      </w:r>
      <w:r>
        <w:rPr>
          <w:sz w:val="28"/>
        </w:rPr>
        <w:t>1,0</w:t>
      </w:r>
      <w:r w:rsidRPr="00B150B4">
        <w:rPr>
          <w:sz w:val="28"/>
        </w:rPr>
        <w:t xml:space="preserve"> </w:t>
      </w:r>
      <w:r w:rsidRPr="00AD0FA6">
        <w:rPr>
          <w:sz w:val="28"/>
        </w:rPr>
        <w:t xml:space="preserve">померлих на </w:t>
      </w:r>
      <w:r w:rsidRPr="00AD0FA6">
        <w:rPr>
          <w:sz w:val="28"/>
          <w:szCs w:val="28"/>
        </w:rPr>
        <w:t>1000 наявного населення.</w:t>
      </w:r>
    </w:p>
    <w:p w:rsidR="003F113B" w:rsidRDefault="003F113B" w:rsidP="003F113B">
      <w:pPr>
        <w:jc w:val="center"/>
        <w:rPr>
          <w:b/>
          <w:sz w:val="28"/>
          <w:szCs w:val="28"/>
        </w:rPr>
      </w:pPr>
    </w:p>
    <w:p w:rsidR="003F113B" w:rsidRDefault="003F113B" w:rsidP="003F113B">
      <w:pPr>
        <w:jc w:val="center"/>
        <w:rPr>
          <w:b/>
          <w:sz w:val="28"/>
          <w:szCs w:val="28"/>
        </w:rPr>
      </w:pPr>
      <w:r w:rsidRPr="00836791">
        <w:rPr>
          <w:b/>
          <w:sz w:val="28"/>
          <w:szCs w:val="28"/>
        </w:rPr>
        <w:t>КРИМІНОГЕННА СИТУАЦІЯ</w:t>
      </w:r>
    </w:p>
    <w:p w:rsidR="003F113B" w:rsidRPr="00836791" w:rsidRDefault="003F113B" w:rsidP="003F113B">
      <w:pPr>
        <w:jc w:val="center"/>
        <w:rPr>
          <w:b/>
          <w:sz w:val="28"/>
          <w:szCs w:val="28"/>
        </w:rPr>
      </w:pPr>
    </w:p>
    <w:p w:rsidR="003F113B" w:rsidRPr="00836791" w:rsidRDefault="003F113B" w:rsidP="003F113B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836791">
        <w:rPr>
          <w:sz w:val="28"/>
          <w:szCs w:val="28"/>
        </w:rPr>
        <w:t xml:space="preserve">За повідомленням прокуратури, протягом </w:t>
      </w:r>
      <w:r>
        <w:rPr>
          <w:sz w:val="28"/>
          <w:szCs w:val="28"/>
        </w:rPr>
        <w:t>січня–квітня</w:t>
      </w:r>
      <w:r w:rsidRPr="00836791">
        <w:rPr>
          <w:sz w:val="28"/>
          <w:szCs w:val="28"/>
        </w:rPr>
        <w:t xml:space="preserve"> 201</w:t>
      </w:r>
      <w:r w:rsidRPr="007C71EC">
        <w:rPr>
          <w:sz w:val="28"/>
          <w:szCs w:val="28"/>
          <w:lang w:val="ru-RU"/>
        </w:rPr>
        <w:t>5</w:t>
      </w:r>
      <w:r w:rsidRPr="00836791">
        <w:rPr>
          <w:sz w:val="28"/>
          <w:szCs w:val="28"/>
        </w:rPr>
        <w:t xml:space="preserve">р. обліковано </w:t>
      </w:r>
      <w:r w:rsidRPr="007C71EC">
        <w:rPr>
          <w:sz w:val="28"/>
          <w:szCs w:val="28"/>
          <w:lang w:val="ru-RU"/>
        </w:rPr>
        <w:t>5314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кримінальних правопорушень. </w:t>
      </w:r>
      <w:r w:rsidRPr="00836791">
        <w:rPr>
          <w:rFonts w:ascii="Times New Roman CYR" w:hAnsi="Times New Roman CYR"/>
          <w:color w:val="000000"/>
          <w:sz w:val="28"/>
          <w:szCs w:val="28"/>
        </w:rPr>
        <w:t xml:space="preserve">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32,6</w:t>
      </w:r>
      <w:r w:rsidRPr="00836791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3F113B" w:rsidRPr="00836791" w:rsidRDefault="003F113B" w:rsidP="003F113B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У загальній кількості злочинів 5</w:t>
      </w:r>
      <w:r>
        <w:rPr>
          <w:sz w:val="28"/>
          <w:szCs w:val="28"/>
        </w:rPr>
        <w:t>7,1</w:t>
      </w:r>
      <w:r w:rsidRPr="00836791">
        <w:rPr>
          <w:sz w:val="28"/>
          <w:szCs w:val="28"/>
        </w:rPr>
        <w:t xml:space="preserve">% становили злочини проти власності, </w:t>
      </w:r>
      <w:r>
        <w:rPr>
          <w:sz w:val="28"/>
          <w:szCs w:val="28"/>
        </w:rPr>
        <w:t>13,3</w:t>
      </w:r>
      <w:r w:rsidRPr="00836791">
        <w:rPr>
          <w:sz w:val="28"/>
          <w:szCs w:val="28"/>
        </w:rPr>
        <w:t xml:space="preserve">% – проти життя та здоров’я особи, </w:t>
      </w:r>
      <w:r>
        <w:rPr>
          <w:sz w:val="28"/>
          <w:szCs w:val="28"/>
        </w:rPr>
        <w:t>5,3</w:t>
      </w:r>
      <w:r w:rsidRPr="00836791">
        <w:rPr>
          <w:sz w:val="28"/>
          <w:szCs w:val="28"/>
        </w:rPr>
        <w:t xml:space="preserve">% – у сфері обігу наркотичних засобів, психотропних речовин, їх аналогів або прекурсорів та інші злочини проти здоров’я населення, </w:t>
      </w:r>
      <w:r>
        <w:rPr>
          <w:sz w:val="28"/>
          <w:szCs w:val="28"/>
        </w:rPr>
        <w:t>3,2%</w:t>
      </w:r>
      <w:r w:rsidRPr="007C136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у сфері службової та </w:t>
      </w:r>
      <w:r w:rsidRPr="00836791">
        <w:rPr>
          <w:sz w:val="28"/>
          <w:szCs w:val="28"/>
        </w:rPr>
        <w:lastRenderedPageBreak/>
        <w:t xml:space="preserve">професійної діяльності, пов’язаної з наданням публічних послуг, </w:t>
      </w:r>
      <w:r>
        <w:rPr>
          <w:sz w:val="28"/>
          <w:szCs w:val="28"/>
        </w:rPr>
        <w:t>2,9</w:t>
      </w:r>
      <w:r w:rsidRPr="00836791">
        <w:rPr>
          <w:sz w:val="28"/>
          <w:szCs w:val="28"/>
        </w:rPr>
        <w:t>% – проти безпеки руху та експлуатації транспорту,</w:t>
      </w:r>
      <w:r>
        <w:rPr>
          <w:sz w:val="28"/>
          <w:szCs w:val="28"/>
        </w:rPr>
        <w:t xml:space="preserve"> стільки ж – </w:t>
      </w:r>
      <w:r w:rsidRPr="00836791">
        <w:rPr>
          <w:sz w:val="28"/>
          <w:szCs w:val="28"/>
        </w:rPr>
        <w:t>проти правосуддя,</w:t>
      </w:r>
      <w:r>
        <w:rPr>
          <w:sz w:val="28"/>
          <w:szCs w:val="28"/>
        </w:rPr>
        <w:t xml:space="preserve"> 2,6% –</w:t>
      </w:r>
      <w:r w:rsidRPr="00836791">
        <w:rPr>
          <w:sz w:val="28"/>
          <w:szCs w:val="28"/>
        </w:rPr>
        <w:t xml:space="preserve"> у сфе</w:t>
      </w:r>
      <w:r>
        <w:rPr>
          <w:sz w:val="28"/>
          <w:szCs w:val="28"/>
        </w:rPr>
        <w:t>рі господарської діяльності, 2,4%</w:t>
      </w:r>
      <w:r w:rsidRPr="0083679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проти авторитету органів державної влади, органів місцевого самоврядування та об’єднань громадян, </w:t>
      </w:r>
      <w:r>
        <w:rPr>
          <w:sz w:val="28"/>
          <w:szCs w:val="28"/>
        </w:rPr>
        <w:t>2,3</w:t>
      </w:r>
      <w:r w:rsidRPr="00836791">
        <w:rPr>
          <w:sz w:val="28"/>
          <w:szCs w:val="28"/>
        </w:rPr>
        <w:t>% – проти громадської безпеки,</w:t>
      </w:r>
      <w:r>
        <w:rPr>
          <w:sz w:val="28"/>
          <w:szCs w:val="28"/>
        </w:rPr>
        <w:t xml:space="preserve"> 1,9% – військові злочини, 1,7</w:t>
      </w:r>
      <w:r w:rsidRPr="00836791">
        <w:rPr>
          <w:sz w:val="28"/>
          <w:szCs w:val="28"/>
        </w:rPr>
        <w:t>% – проти грома</w:t>
      </w:r>
      <w:r>
        <w:rPr>
          <w:sz w:val="28"/>
          <w:szCs w:val="28"/>
        </w:rPr>
        <w:t>дського порядку та моральності, стільки ж</w:t>
      </w:r>
      <w:r w:rsidRPr="00836791">
        <w:rPr>
          <w:sz w:val="28"/>
          <w:szCs w:val="28"/>
        </w:rPr>
        <w:t xml:space="preserve"> – проти виборчих, трудових та інших особистих прав і свобод людини і громадянина.</w:t>
      </w:r>
    </w:p>
    <w:p w:rsidR="003F113B" w:rsidRPr="00836791" w:rsidRDefault="003F113B" w:rsidP="003F113B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Протягом </w:t>
      </w:r>
      <w:bookmarkStart w:id="0" w:name="арг"/>
      <w:r>
        <w:rPr>
          <w:sz w:val="28"/>
          <w:szCs w:val="28"/>
        </w:rPr>
        <w:t>січня–квітня 2015</w:t>
      </w:r>
      <w:r w:rsidRPr="00836791">
        <w:rPr>
          <w:sz w:val="28"/>
          <w:szCs w:val="28"/>
        </w:rPr>
        <w:t xml:space="preserve">р. обліковано </w:t>
      </w:r>
      <w:r>
        <w:rPr>
          <w:sz w:val="28"/>
          <w:szCs w:val="28"/>
        </w:rPr>
        <w:t>23</w:t>
      </w:r>
      <w:r w:rsidRPr="00836791">
        <w:rPr>
          <w:sz w:val="28"/>
          <w:szCs w:val="28"/>
        </w:rPr>
        <w:t xml:space="preserve"> очев</w:t>
      </w:r>
      <w:r>
        <w:rPr>
          <w:sz w:val="28"/>
          <w:szCs w:val="28"/>
        </w:rPr>
        <w:t>идні умисні</w:t>
      </w:r>
      <w:r w:rsidRPr="00836791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в</w:t>
      </w:r>
      <w:r w:rsidRPr="00836791">
        <w:rPr>
          <w:sz w:val="28"/>
          <w:szCs w:val="28"/>
        </w:rPr>
        <w:t>бивств</w:t>
      </w:r>
      <w:r>
        <w:rPr>
          <w:sz w:val="28"/>
          <w:szCs w:val="28"/>
        </w:rPr>
        <w:t>а і замахи</w:t>
      </w:r>
      <w:r w:rsidRPr="00836791">
        <w:rPr>
          <w:sz w:val="28"/>
          <w:szCs w:val="28"/>
        </w:rPr>
        <w:t xml:space="preserve"> на вбивство,</w:t>
      </w:r>
      <w:r w:rsidRPr="00836791"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25 умисних</w:t>
      </w:r>
      <w:r w:rsidRPr="00836791">
        <w:rPr>
          <w:sz w:val="28"/>
          <w:szCs w:val="28"/>
        </w:rPr>
        <w:t xml:space="preserve"> тяжк</w:t>
      </w:r>
      <w:r>
        <w:rPr>
          <w:sz w:val="28"/>
          <w:szCs w:val="28"/>
        </w:rPr>
        <w:t>их</w:t>
      </w:r>
      <w:r w:rsidRPr="00836791">
        <w:rPr>
          <w:sz w:val="28"/>
          <w:szCs w:val="28"/>
        </w:rPr>
        <w:t xml:space="preserve"> ті</w:t>
      </w:r>
      <w:r>
        <w:rPr>
          <w:sz w:val="28"/>
          <w:szCs w:val="28"/>
        </w:rPr>
        <w:t>лесних</w:t>
      </w:r>
      <w:r w:rsidRPr="00836791">
        <w:rPr>
          <w:sz w:val="28"/>
          <w:szCs w:val="28"/>
        </w:rPr>
        <w:t xml:space="preserve"> ушкоджен</w:t>
      </w:r>
      <w:r>
        <w:rPr>
          <w:sz w:val="28"/>
          <w:szCs w:val="28"/>
        </w:rPr>
        <w:t xml:space="preserve">ь, </w:t>
      </w:r>
      <w:r w:rsidRPr="007C71EC">
        <w:rPr>
          <w:sz w:val="28"/>
          <w:szCs w:val="28"/>
        </w:rPr>
        <w:t xml:space="preserve">   </w:t>
      </w:r>
      <w:r>
        <w:rPr>
          <w:sz w:val="28"/>
          <w:szCs w:val="28"/>
        </w:rPr>
        <w:t>6 зґвалтувань і замахів</w:t>
      </w:r>
      <w:r w:rsidRPr="00836791">
        <w:rPr>
          <w:sz w:val="28"/>
          <w:szCs w:val="28"/>
        </w:rPr>
        <w:t xml:space="preserve"> на зґвалтування.</w:t>
      </w:r>
    </w:p>
    <w:p w:rsidR="003F113B" w:rsidRDefault="003F113B" w:rsidP="003F113B">
      <w:pPr>
        <w:ind w:firstLine="708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Кількість </w:t>
      </w:r>
      <w:r w:rsidRPr="00836791">
        <w:rPr>
          <w:sz w:val="28"/>
          <w:szCs w:val="28"/>
        </w:rPr>
        <w:t xml:space="preserve">крадіжок </w:t>
      </w:r>
      <w:r>
        <w:rPr>
          <w:sz w:val="28"/>
          <w:szCs w:val="28"/>
        </w:rPr>
        <w:t xml:space="preserve">становила 2367 випадків, </w:t>
      </w:r>
      <w:r>
        <w:rPr>
          <w:spacing w:val="4"/>
          <w:sz w:val="28"/>
          <w:szCs w:val="28"/>
        </w:rPr>
        <w:t xml:space="preserve">шахрайства – 370, </w:t>
      </w:r>
      <w:r w:rsidRPr="00836791">
        <w:rPr>
          <w:spacing w:val="4"/>
          <w:sz w:val="28"/>
          <w:szCs w:val="28"/>
        </w:rPr>
        <w:t xml:space="preserve">грабежів </w:t>
      </w:r>
      <w:r>
        <w:rPr>
          <w:spacing w:val="4"/>
          <w:sz w:val="28"/>
          <w:szCs w:val="28"/>
        </w:rPr>
        <w:t xml:space="preserve">– 92, хабарництва – 27, </w:t>
      </w:r>
      <w:r w:rsidRPr="00836791">
        <w:rPr>
          <w:spacing w:val="4"/>
          <w:sz w:val="28"/>
          <w:szCs w:val="28"/>
        </w:rPr>
        <w:t xml:space="preserve">розбоїв </w:t>
      </w:r>
      <w:r>
        <w:rPr>
          <w:spacing w:val="4"/>
          <w:sz w:val="28"/>
          <w:szCs w:val="28"/>
        </w:rPr>
        <w:t>– 13.</w:t>
      </w:r>
    </w:p>
    <w:p w:rsidR="003F113B" w:rsidRPr="00836791" w:rsidRDefault="003F113B" w:rsidP="003F113B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Правоохоронними органами за цей період </w:t>
      </w:r>
      <w:r>
        <w:rPr>
          <w:sz w:val="28"/>
          <w:szCs w:val="28"/>
        </w:rPr>
        <w:t>виявлено 3 осо</w:t>
      </w:r>
      <w:r w:rsidRPr="00836791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r w:rsidRPr="00836791">
        <w:rPr>
          <w:sz w:val="28"/>
          <w:szCs w:val="28"/>
        </w:rPr>
        <w:t>, які скоїли злочини</w:t>
      </w:r>
      <w:r>
        <w:rPr>
          <w:sz w:val="28"/>
          <w:szCs w:val="28"/>
        </w:rPr>
        <w:t xml:space="preserve"> в</w:t>
      </w:r>
      <w:r w:rsidRPr="00836791">
        <w:rPr>
          <w:sz w:val="28"/>
          <w:szCs w:val="28"/>
        </w:rPr>
        <w:t xml:space="preserve"> складі </w:t>
      </w:r>
      <w:r>
        <w:rPr>
          <w:sz w:val="28"/>
          <w:szCs w:val="28"/>
        </w:rPr>
        <w:t>однієї організованої злочинної</w:t>
      </w:r>
      <w:r w:rsidRPr="00836791">
        <w:rPr>
          <w:sz w:val="28"/>
          <w:szCs w:val="28"/>
        </w:rPr>
        <w:t xml:space="preserve"> груп</w:t>
      </w:r>
      <w:r>
        <w:rPr>
          <w:sz w:val="28"/>
          <w:szCs w:val="28"/>
        </w:rPr>
        <w:t>и</w:t>
      </w:r>
      <w:r w:rsidRPr="00836791">
        <w:rPr>
          <w:sz w:val="28"/>
          <w:szCs w:val="28"/>
        </w:rPr>
        <w:t xml:space="preserve">; закінчено </w:t>
      </w:r>
      <w:r>
        <w:rPr>
          <w:sz w:val="28"/>
          <w:szCs w:val="28"/>
        </w:rPr>
        <w:t>одне кримінальне</w:t>
      </w:r>
      <w:r w:rsidRPr="00836791">
        <w:rPr>
          <w:sz w:val="28"/>
          <w:szCs w:val="28"/>
        </w:rPr>
        <w:t xml:space="preserve"> провадження про кримінальні правопорушення, вчинені організованими групами і злочинними організаціями.</w:t>
      </w:r>
    </w:p>
    <w:p w:rsidR="003F113B" w:rsidRPr="00836791" w:rsidRDefault="003F113B" w:rsidP="003F113B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Кількість потерпілих від злочинів за січень</w:t>
      </w:r>
      <w:r>
        <w:rPr>
          <w:sz w:val="28"/>
          <w:szCs w:val="28"/>
        </w:rPr>
        <w:t>–квітень</w:t>
      </w:r>
      <w:r w:rsidRPr="00836791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836791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3575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836791">
        <w:rPr>
          <w:sz w:val="28"/>
          <w:szCs w:val="28"/>
        </w:rPr>
        <w:t xml:space="preserve">б, із числа яких </w:t>
      </w:r>
      <w:r>
        <w:rPr>
          <w:sz w:val="28"/>
          <w:szCs w:val="28"/>
        </w:rPr>
        <w:t>1410</w:t>
      </w:r>
      <w:r w:rsidRPr="00836791">
        <w:rPr>
          <w:sz w:val="28"/>
          <w:szCs w:val="28"/>
        </w:rPr>
        <w:t xml:space="preserve"> – жінки, </w:t>
      </w:r>
      <w:r>
        <w:rPr>
          <w:sz w:val="28"/>
          <w:szCs w:val="28"/>
        </w:rPr>
        <w:t>246</w:t>
      </w:r>
      <w:r w:rsidRPr="00836791">
        <w:rPr>
          <w:sz w:val="28"/>
          <w:szCs w:val="28"/>
        </w:rPr>
        <w:t xml:space="preserve"> – особи похилого віку та інваліди 1 і 2 групи, </w:t>
      </w:r>
      <w:r>
        <w:rPr>
          <w:sz w:val="28"/>
          <w:szCs w:val="28"/>
        </w:rPr>
        <w:t>50</w:t>
      </w:r>
      <w:r w:rsidRPr="00836791">
        <w:rPr>
          <w:sz w:val="28"/>
          <w:szCs w:val="28"/>
        </w:rPr>
        <w:t xml:space="preserve"> – неповнолітні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 w:rsidRPr="00836791">
        <w:rPr>
          <w:spacing w:val="-2"/>
          <w:sz w:val="28"/>
          <w:szCs w:val="28"/>
        </w:rPr>
        <w:t xml:space="preserve">у віці 14–17 років </w:t>
      </w:r>
      <w:r w:rsidRPr="00836791">
        <w:rPr>
          <w:sz w:val="28"/>
          <w:szCs w:val="28"/>
        </w:rPr>
        <w:t xml:space="preserve">та </w:t>
      </w:r>
      <w:r>
        <w:rPr>
          <w:sz w:val="28"/>
          <w:szCs w:val="28"/>
        </w:rPr>
        <w:t>33</w:t>
      </w:r>
      <w:r w:rsidRPr="00836791">
        <w:rPr>
          <w:sz w:val="28"/>
          <w:szCs w:val="28"/>
        </w:rPr>
        <w:t xml:space="preserve"> – діти у віці до 14 років. </w:t>
      </w:r>
      <w:r w:rsidRPr="0013523D">
        <w:rPr>
          <w:sz w:val="28"/>
          <w:szCs w:val="28"/>
        </w:rPr>
        <w:t>Найбільша кількість потерпілих (5</w:t>
      </w:r>
      <w:r>
        <w:rPr>
          <w:sz w:val="28"/>
          <w:szCs w:val="28"/>
        </w:rPr>
        <w:t>9,8</w:t>
      </w:r>
      <w:r w:rsidRPr="0013523D">
        <w:rPr>
          <w:sz w:val="28"/>
          <w:szCs w:val="28"/>
        </w:rPr>
        <w:t>%) –</w:t>
      </w:r>
      <w:r w:rsidRPr="0013523D">
        <w:t xml:space="preserve"> </w:t>
      </w:r>
      <w:r w:rsidRPr="0013523D">
        <w:rPr>
          <w:sz w:val="28"/>
          <w:szCs w:val="28"/>
        </w:rPr>
        <w:t>від крадіжок та грабежів, серед яких 4</w:t>
      </w:r>
      <w:r>
        <w:rPr>
          <w:sz w:val="28"/>
          <w:szCs w:val="28"/>
        </w:rPr>
        <w:t>1,3</w:t>
      </w:r>
      <w:r w:rsidRPr="0013523D">
        <w:rPr>
          <w:sz w:val="28"/>
          <w:szCs w:val="28"/>
        </w:rPr>
        <w:t>%</w:t>
      </w:r>
      <w:r w:rsidRPr="0013523D">
        <w:rPr>
          <w:color w:val="0000FF"/>
          <w:spacing w:val="-2"/>
          <w:sz w:val="28"/>
          <w:szCs w:val="28"/>
        </w:rPr>
        <w:t xml:space="preserve"> </w:t>
      </w:r>
      <w:r w:rsidRPr="0013523D">
        <w:rPr>
          <w:sz w:val="28"/>
          <w:szCs w:val="28"/>
        </w:rPr>
        <w:t xml:space="preserve">– жінки. </w:t>
      </w:r>
      <w:r w:rsidRPr="00836791">
        <w:rPr>
          <w:sz w:val="28"/>
          <w:szCs w:val="28"/>
        </w:rPr>
        <w:t>У дорожньо-транспортних пригодах, пов’язаних зі злочинами, на території області постраждали</w:t>
      </w:r>
      <w:r>
        <w:rPr>
          <w:sz w:val="28"/>
          <w:szCs w:val="28"/>
        </w:rPr>
        <w:t xml:space="preserve"> 103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о</w:t>
      </w:r>
      <w:r w:rsidRPr="00836791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r w:rsidRPr="00836791">
        <w:rPr>
          <w:sz w:val="28"/>
          <w:szCs w:val="28"/>
        </w:rPr>
        <w:t xml:space="preserve">. </w:t>
      </w:r>
    </w:p>
    <w:p w:rsidR="003F113B" w:rsidRDefault="003F113B" w:rsidP="003F113B">
      <w:pPr>
        <w:ind w:firstLine="708"/>
        <w:jc w:val="both"/>
      </w:pPr>
      <w:r>
        <w:rPr>
          <w:sz w:val="28"/>
          <w:szCs w:val="28"/>
        </w:rPr>
        <w:t>Виявлено 730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836791">
        <w:rPr>
          <w:sz w:val="28"/>
          <w:szCs w:val="28"/>
        </w:rPr>
        <w:t>б</w:t>
      </w:r>
      <w:r>
        <w:rPr>
          <w:sz w:val="28"/>
          <w:szCs w:val="28"/>
        </w:rPr>
        <w:t>, які вчинили злочин</w:t>
      </w:r>
      <w:r w:rsidRPr="00836791">
        <w:rPr>
          <w:sz w:val="28"/>
          <w:szCs w:val="28"/>
        </w:rPr>
        <w:t xml:space="preserve">. Серед них </w:t>
      </w:r>
      <w:r>
        <w:rPr>
          <w:sz w:val="28"/>
          <w:szCs w:val="28"/>
        </w:rPr>
        <w:t>27,1</w:t>
      </w:r>
      <w:r w:rsidRPr="00836791">
        <w:rPr>
          <w:sz w:val="28"/>
          <w:szCs w:val="28"/>
        </w:rPr>
        <w:t xml:space="preserve">% раніше вже ставали на злочинний шлях (з них </w:t>
      </w:r>
      <w:r>
        <w:rPr>
          <w:sz w:val="28"/>
          <w:szCs w:val="28"/>
        </w:rPr>
        <w:t>75,3%</w:t>
      </w:r>
      <w:r w:rsidRPr="00836791">
        <w:rPr>
          <w:sz w:val="28"/>
          <w:szCs w:val="28"/>
        </w:rPr>
        <w:t xml:space="preserve"> мали незняту або непогашену судимість), </w:t>
      </w:r>
      <w:r>
        <w:rPr>
          <w:sz w:val="28"/>
          <w:szCs w:val="28"/>
        </w:rPr>
        <w:t>7,7</w:t>
      </w:r>
      <w:r w:rsidRPr="00836791">
        <w:rPr>
          <w:sz w:val="28"/>
          <w:szCs w:val="28"/>
        </w:rPr>
        <w:t xml:space="preserve">% вчинили злочин у групі, </w:t>
      </w:r>
      <w:r>
        <w:rPr>
          <w:sz w:val="28"/>
          <w:szCs w:val="28"/>
        </w:rPr>
        <w:t>16,2</w:t>
      </w:r>
      <w:r w:rsidRPr="00836791">
        <w:rPr>
          <w:sz w:val="28"/>
          <w:szCs w:val="28"/>
        </w:rPr>
        <w:t xml:space="preserve">% знаходилися 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в стані алкогольного сп’яніння, </w:t>
      </w:r>
      <w:r>
        <w:rPr>
          <w:sz w:val="28"/>
          <w:szCs w:val="28"/>
        </w:rPr>
        <w:t>10,1% – жінки,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2,5</w:t>
      </w:r>
      <w:r w:rsidRPr="00836791">
        <w:rPr>
          <w:sz w:val="28"/>
          <w:szCs w:val="28"/>
        </w:rPr>
        <w:t xml:space="preserve">% – неповнолітні. Питома вага працездатних осіб, підозрюваних у скоєнні злочинів, які на момент учинення злочину не працювали і не навчалися, становила </w:t>
      </w:r>
      <w:r>
        <w:rPr>
          <w:sz w:val="28"/>
          <w:szCs w:val="28"/>
        </w:rPr>
        <w:t>51,9%</w:t>
      </w:r>
      <w:r w:rsidRPr="00836791">
        <w:rPr>
          <w:sz w:val="28"/>
          <w:szCs w:val="28"/>
        </w:rPr>
        <w:t>, безробітних –</w:t>
      </w:r>
      <w:r>
        <w:rPr>
          <w:sz w:val="28"/>
          <w:szCs w:val="28"/>
        </w:rPr>
        <w:t xml:space="preserve"> 24,2</w:t>
      </w:r>
      <w:r w:rsidRPr="00836791">
        <w:rPr>
          <w:sz w:val="28"/>
          <w:szCs w:val="28"/>
        </w:rPr>
        <w:t>%.</w:t>
      </w:r>
    </w:p>
    <w:p w:rsidR="003F113B" w:rsidRDefault="003F113B" w:rsidP="003F113B">
      <w:pPr>
        <w:jc w:val="right"/>
      </w:pPr>
    </w:p>
    <w:p w:rsidR="003F113B" w:rsidRPr="00836791" w:rsidRDefault="003F113B" w:rsidP="003F113B">
      <w:pPr>
        <w:rPr>
          <w:sz w:val="28"/>
          <w:szCs w:val="28"/>
        </w:rPr>
      </w:pPr>
    </w:p>
    <w:p w:rsidR="003F113B" w:rsidRPr="009B2BAE" w:rsidRDefault="003F113B" w:rsidP="003F113B">
      <w:pPr>
        <w:jc w:val="center"/>
        <w:rPr>
          <w:b/>
          <w:sz w:val="16"/>
          <w:szCs w:val="16"/>
          <w:highlight w:val="yellow"/>
        </w:rPr>
      </w:pPr>
    </w:p>
    <w:p w:rsidR="003F113B" w:rsidRPr="009B2BAE" w:rsidRDefault="003F113B" w:rsidP="003F113B">
      <w:pPr>
        <w:jc w:val="center"/>
        <w:rPr>
          <w:b/>
          <w:sz w:val="16"/>
          <w:szCs w:val="16"/>
          <w:highlight w:val="yellow"/>
        </w:rPr>
      </w:pPr>
    </w:p>
    <w:p w:rsidR="003F113B" w:rsidRPr="00DA3DE4" w:rsidRDefault="003F113B" w:rsidP="003F113B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 xml:space="preserve">Головне управління статистики </w:t>
      </w:r>
    </w:p>
    <w:p w:rsidR="003F113B" w:rsidRPr="00604758" w:rsidRDefault="003F113B" w:rsidP="003F113B">
      <w:pPr>
        <w:jc w:val="right"/>
        <w:rPr>
          <w:sz w:val="28"/>
          <w:szCs w:val="28"/>
        </w:rPr>
      </w:pPr>
      <w:r w:rsidRPr="00DA3DE4">
        <w:rPr>
          <w:sz w:val="28"/>
          <w:szCs w:val="28"/>
        </w:rPr>
        <w:t>у Чернігівській області</w:t>
      </w:r>
    </w:p>
    <w:p w:rsidR="003F113B" w:rsidRDefault="003F113B" w:rsidP="00F7118B">
      <w:pPr>
        <w:jc w:val="center"/>
        <w:rPr>
          <w:b/>
          <w:sz w:val="28"/>
          <w:szCs w:val="28"/>
        </w:rPr>
      </w:pPr>
    </w:p>
    <w:p w:rsidR="00E80856" w:rsidRDefault="00E80856" w:rsidP="00F7118B">
      <w:pPr>
        <w:jc w:val="center"/>
        <w:rPr>
          <w:b/>
          <w:sz w:val="28"/>
          <w:szCs w:val="28"/>
        </w:rPr>
      </w:pPr>
    </w:p>
    <w:sectPr w:rsidR="00E80856" w:rsidSect="008536FC">
      <w:footerReference w:type="even" r:id="rId8"/>
      <w:footerReference w:type="default" r:id="rId9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E0" w:rsidRDefault="00FC31E0">
      <w:r>
        <w:separator/>
      </w:r>
    </w:p>
  </w:endnote>
  <w:endnote w:type="continuationSeparator" w:id="0">
    <w:p w:rsidR="00FC31E0" w:rsidRDefault="00FC3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22B8">
      <w:rPr>
        <w:rStyle w:val="af0"/>
        <w:noProof/>
      </w:rPr>
      <w:t>2</w:t>
    </w:r>
    <w:r>
      <w:rPr>
        <w:rStyle w:val="af0"/>
      </w:rPr>
      <w:fldChar w:fldCharType="end"/>
    </w:r>
  </w:p>
  <w:p w:rsidR="005E53AF" w:rsidRPr="0027278F" w:rsidRDefault="005E53AF" w:rsidP="0027278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22B8">
      <w:rPr>
        <w:rStyle w:val="af0"/>
        <w:noProof/>
      </w:rPr>
      <w:t>9</w:t>
    </w:r>
    <w:r>
      <w:rPr>
        <w:rStyle w:val="af0"/>
      </w:rPr>
      <w:fldChar w:fldCharType="end"/>
    </w:r>
  </w:p>
  <w:p w:rsidR="005E53AF" w:rsidRDefault="005E53AF" w:rsidP="0027278F">
    <w:pPr>
      <w:pStyle w:val="af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E0" w:rsidRDefault="00FC31E0">
      <w:pPr>
        <w:pStyle w:val="af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FC31E0" w:rsidRDefault="00FC3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2A22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0F1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2B8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17A"/>
    <w:rsid w:val="002D1D25"/>
    <w:rsid w:val="002D2876"/>
    <w:rsid w:val="002D3B9E"/>
    <w:rsid w:val="002D3DD8"/>
    <w:rsid w:val="002D4126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9F0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3A95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A4"/>
    <w:rsid w:val="003C1C09"/>
    <w:rsid w:val="003C270B"/>
    <w:rsid w:val="003C2754"/>
    <w:rsid w:val="003C286E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37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13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29C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526A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0856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8B"/>
    <w:rsid w:val="00F711F7"/>
    <w:rsid w:val="00F713FD"/>
    <w:rsid w:val="00F72793"/>
    <w:rsid w:val="00F737FD"/>
    <w:rsid w:val="00F7485F"/>
    <w:rsid w:val="00F74BB9"/>
    <w:rsid w:val="00F75C7B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1052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1E0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1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link w:val="a7"/>
    <w:pPr>
      <w:spacing w:line="360" w:lineRule="auto"/>
      <w:ind w:firstLine="720"/>
      <w:jc w:val="both"/>
    </w:pPr>
    <w:rPr>
      <w:sz w:val="28"/>
      <w:szCs w:val="20"/>
    </w:rPr>
  </w:style>
  <w:style w:type="paragraph" w:styleId="a8">
    <w:name w:val="Plain Text"/>
    <w:basedOn w:val="a"/>
    <w:link w:val="a9"/>
    <w:rPr>
      <w:rFonts w:ascii="Courier New" w:hAnsi="Courier New"/>
      <w:sz w:val="20"/>
      <w:szCs w:val="20"/>
      <w:lang w:val="ru-RU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Body Text"/>
    <w:basedOn w:val="a"/>
    <w:pPr>
      <w:jc w:val="both"/>
    </w:pPr>
    <w:rPr>
      <w:sz w:val="28"/>
      <w:szCs w:val="20"/>
    </w:rPr>
  </w:style>
  <w:style w:type="paragraph" w:styleId="32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Subtitle"/>
    <w:basedOn w:val="a"/>
    <w:qFormat/>
    <w:pPr>
      <w:jc w:val="center"/>
    </w:pPr>
    <w:rPr>
      <w:b/>
      <w:sz w:val="28"/>
      <w:szCs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e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2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4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5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6">
    <w:name w:val="Title"/>
    <w:basedOn w:val="a"/>
    <w:link w:val="af7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8">
    <w:name w:val="Hyperlink"/>
    <w:rsid w:val="00FF27C2"/>
    <w:rPr>
      <w:color w:val="0000FF"/>
      <w:u w:val="single"/>
    </w:rPr>
  </w:style>
  <w:style w:type="paragraph" w:customStyle="1" w:styleId="af9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a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2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0">
    <w:name w:val=" Знак Знак3"/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Название Знак"/>
    <w:link w:val="af6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9">
    <w:name w:val="Текст Знак"/>
    <w:link w:val="a8"/>
    <w:rsid w:val="00DE5399"/>
    <w:rPr>
      <w:rFonts w:ascii="Courier New" w:hAnsi="Courier New"/>
      <w:lang w:val="ru-RU" w:eastAsia="ru-RU"/>
    </w:rPr>
  </w:style>
  <w:style w:type="character" w:customStyle="1" w:styleId="a7">
    <w:name w:val="Основной текст с отступом Знак"/>
    <w:link w:val="a6"/>
    <w:rsid w:val="003F113B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8922558922558925E-2"/>
          <c:y val="4.0293040293040316E-2"/>
          <c:w val="0.91245791245791241"/>
          <c:h val="0.63003663003663002"/>
        </c:manualLayout>
      </c:layout>
      <c:lineChart>
        <c:grouping val="standard"/>
        <c:ser>
          <c:idx val="0"/>
          <c:order val="0"/>
          <c:tx>
            <c:strRef>
              <c:f>Sheet1!$A$3</c:f>
              <c:strCache>
                <c:ptCount val="1"/>
                <c:pt idx="0">
                  <c:v>2014р.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8922558922558925E-2"/>
                  <c:y val="0.3772893772893775"/>
                </c:manualLayout>
              </c:layout>
              <c:tx>
                <c:rich>
                  <a:bodyPr/>
                  <a:lstStyle/>
                  <a:p>
                    <a:r>
                      <a:t>104,8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161616161616162"/>
                  <c:y val="0.40293040293040305"/>
                </c:manualLayout>
              </c:layout>
              <c:tx>
                <c:rich>
                  <a:bodyPr/>
                  <a:lstStyle/>
                  <a:p>
                    <a:r>
                      <a:t>102,7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033670033670034"/>
                  <c:y val="0.33699633699633702"/>
                </c:manualLayout>
              </c:layout>
              <c:tx>
                <c:rich>
                  <a:bodyPr/>
                  <a:lstStyle/>
                  <a:p>
                    <a:r>
                      <a:t>100,7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7777777777777796"/>
                  <c:y val="0.34432234432234454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531986531986571"/>
                  <c:y val="0.35531135531135538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4949494949494967"/>
                  <c:y val="0.4212454212454213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535353535353558"/>
                  <c:y val="0.42857142857142855"/>
                </c:manualLayout>
              </c:layout>
              <c:tx>
                <c:rich>
                  <a:bodyPr/>
                  <a:lstStyle/>
                  <a:p>
                    <a:r>
                      <a:t>100,9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2121212121212099"/>
                  <c:y val="0.23809523809523819"/>
                </c:manualLayout>
              </c:layout>
              <c:tx>
                <c:rich>
                  <a:bodyPr/>
                  <a:lstStyle/>
                  <a:p>
                    <a:r>
                      <a:t>100,3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6952861952861954"/>
                  <c:y val="9.1575091575091652E-2"/>
                </c:manualLayout>
              </c:layout>
              <c:tx>
                <c:rich>
                  <a:bodyPr/>
                  <a:lstStyle/>
                  <a:p>
                    <a:r>
                      <a:t>100,0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451178451178449"/>
                  <c:y val="9.5238095238095261E-2"/>
                </c:manualLayout>
              </c:layout>
              <c:tx>
                <c:rich>
                  <a:bodyPr/>
                  <a:lstStyle/>
                  <a:p>
                    <a:r>
                      <a:t>103,4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195286195286169"/>
                  <c:y val="0.10256410256410259"/>
                </c:manualLayout>
              </c:layout>
              <c:tx>
                <c:rich>
                  <a:bodyPr/>
                  <a:lstStyle/>
                  <a:p>
                    <a:r>
                      <a:t>103,3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444444444444464"/>
                  <c:y val="0.2124542124542125"/>
                </c:manualLayout>
              </c:layout>
              <c:tx>
                <c:rich>
                  <a:bodyPr/>
                  <a:lstStyle/>
                  <a:p>
                    <a:r>
                      <a:t>102,8
</a:t>
                    </a:r>
                  </a:p>
                </c:rich>
              </c:tx>
              <c:dLblPos val="r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105.5</c:v>
                </c:pt>
                <c:pt idx="1">
                  <c:v>104</c:v>
                </c:pt>
                <c:pt idx="2">
                  <c:v>100.6</c:v>
                </c:pt>
                <c:pt idx="3">
                  <c:v>101.1</c:v>
                </c:pt>
                <c:pt idx="4">
                  <c:v>100.5</c:v>
                </c:pt>
                <c:pt idx="5">
                  <c:v>97.3</c:v>
                </c:pt>
                <c:pt idx="6">
                  <c:v>101.9</c:v>
                </c:pt>
                <c:pt idx="7">
                  <c:v>106.1</c:v>
                </c:pt>
                <c:pt idx="8">
                  <c:v>112.7</c:v>
                </c:pt>
                <c:pt idx="9">
                  <c:v>112.8</c:v>
                </c:pt>
                <c:pt idx="10">
                  <c:v>112.5</c:v>
                </c:pt>
                <c:pt idx="11">
                  <c:v>107.7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2015р.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6.3973063973063973E-2"/>
                  <c:y val="0.45054945054945056"/>
                </c:manualLayout>
              </c:layout>
              <c:tx>
                <c:rich>
                  <a:bodyPr/>
                  <a:lstStyle/>
                  <a:p>
                    <a:r>
                      <a:t>105,5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2626262626262627"/>
                  <c:y val="0.44688644688644708"/>
                </c:manualLayout>
              </c:layout>
              <c:tx>
                <c:rich>
                  <a:bodyPr/>
                  <a:lstStyle/>
                  <a:p>
                    <a:r>
                      <a:t>104,0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2020202020204"/>
                  <c:y val="0.46520146520146533"/>
                </c:manualLayout>
              </c:layout>
              <c:tx>
                <c:rich>
                  <a:bodyPr/>
                  <a:lstStyle/>
                  <a:p>
                    <a:r>
                      <a:t>100,6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7609427609427623"/>
                  <c:y val="0.48351648351648363"/>
                </c:manualLayout>
              </c:layout>
              <c:tx>
                <c:rich>
                  <a:bodyPr/>
                  <a:lstStyle/>
                  <a:p>
                    <a:r>
                      <a:t>101,1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19528619528623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100,5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528619528619528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97,3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36700336700338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1616161616161635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106,1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70202020202020221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45117845117844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112,8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86868686868687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112,5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78114478114477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107,7</a:t>
                    </a:r>
                  </a:p>
                </c:rich>
              </c:tx>
              <c:dLblPos val="r"/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97</c:v>
                </c:pt>
                <c:pt idx="1">
                  <c:v>96.4</c:v>
                </c:pt>
                <c:pt idx="2">
                  <c:v>95.1</c:v>
                </c:pt>
                <c:pt idx="3">
                  <c:v>94.3</c:v>
                </c:pt>
              </c:numCache>
            </c:numRef>
          </c:val>
        </c:ser>
        <c:dLbls>
          <c:showVal val="1"/>
        </c:dLbls>
        <c:marker val="1"/>
        <c:axId val="46742144"/>
        <c:axId val="46743936"/>
      </c:lineChart>
      <c:catAx>
        <c:axId val="46742144"/>
        <c:scaling>
          <c:orientation val="minMax"/>
        </c:scaling>
        <c:axPos val="b"/>
        <c:numFmt formatCode="General" sourceLinked="1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743936"/>
        <c:crosses val="autoZero"/>
        <c:auto val="1"/>
        <c:lblAlgn val="ctr"/>
        <c:lblOffset val="100"/>
        <c:tickLblSkip val="1"/>
        <c:tickMarkSkip val="1"/>
      </c:catAx>
      <c:valAx>
        <c:axId val="46743936"/>
        <c:scaling>
          <c:orientation val="minMax"/>
          <c:max val="120"/>
          <c:min val="90"/>
        </c:scaling>
        <c:axPos val="l"/>
        <c:majorGridlines>
          <c:spPr>
            <a:ln w="12700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6742144"/>
        <c:crosses val="autoZero"/>
        <c:crossBetween val="midCat"/>
        <c:majorUnit val="10"/>
        <c:minorUnit val="4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9898989898989934"/>
          <c:y val="0.90842490842490842"/>
          <c:w val="0.22222222222222224"/>
          <c:h val="6.593406593406595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3425</Words>
  <Characters>19526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22906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creator>user0058</dc:creator>
  <cp:lastModifiedBy>Vadim</cp:lastModifiedBy>
  <cp:revision>2</cp:revision>
  <cp:lastPrinted>2015-03-24T14:02:00Z</cp:lastPrinted>
  <dcterms:created xsi:type="dcterms:W3CDTF">2015-05-22T08:29:00Z</dcterms:created>
  <dcterms:modified xsi:type="dcterms:W3CDTF">2015-05-22T08:29:00Z</dcterms:modified>
</cp:coreProperties>
</file>